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SaaS integration page brief</w:t>
      </w:r>
    </w:p>
    <w:p>
      <w:pPr>
        <w:pStyle w:val="Subtitle"/>
      </w:pPr>
      <w:r>
        <w:t>Blank brief and fictional integration example</w:t>
      </w:r>
    </w:p>
    <w:p>
      <w:r>
        <w:t>Use the blank brief to document one supported product pair, then inspect the fictional connection and its before-and-after rewrite. Replace the example details with verified facts before sharing. This manual file does not connect products, install a connector or approve publication.</w:t>
      </w:r>
    </w:p>
    <w:p>
      <w:r>
        <w:t>Pack version 1.0 · 16 September 2026. Brief version 1.0.</w:t>
      </w:r>
    </w:p>
    <w:p>
      <w:r>
        <w:rPr>
          <w:b/>
        </w:rPr>
        <w:t>Guide:</w:t>
      </w:r>
      <w:r>
        <w:t xml:space="preserve"> https://rankecho.io/resources/fix/integration-page</w:t>
      </w:r>
    </w:p>
    <w:p>
      <w:pPr>
        <w:pStyle w:val="Heading1"/>
      </w:pPr>
      <w:r>
        <w:t>Part 1 Brief and fictional filled example</w:t>
      </w:r>
    </w:p>
    <w:p>
      <w:r>
        <w:t>Copy this for one supported product pair. Replace every bracketed field from product, engineering, security, pricing, partner, and support owners before publication.</w:t>
      </w:r>
    </w:p>
    <w:p>
      <w:r>
        <w:t>Version 1.0 — manual planning brief</w:t>
      </w:r>
    </w:p>
    <w:p>
      <w:pPr>
        <w:pStyle w:val="Heading2"/>
      </w:pPr>
      <w:r>
        <w:t>Page control</w:t>
      </w:r>
    </w:p>
    <w:p>
      <w:pPr>
        <w:pStyle w:val="ListBullet"/>
      </w:pPr>
      <w:r>
        <w:rPr>
          <w:b/>
        </w:rPr>
        <w:t>Product pair [required]:</w:t>
      </w:r>
      <w:r>
        <w:t xml:space="preserve"> [Enter your response]</w:t>
      </w:r>
    </w:p>
    <w:p>
      <w:pPr>
        <w:pStyle w:val="ListBullet"/>
      </w:pPr>
      <w:r>
        <w:rPr>
          <w:b/>
        </w:rPr>
        <w:t>Canonical URL and publisher [required]:</w:t>
      </w:r>
      <w:r>
        <w:t xml:space="preserve"> [Enter your response]</w:t>
      </w:r>
    </w:p>
    <w:p>
      <w:pPr>
        <w:pStyle w:val="ListBullet"/>
      </w:pPr>
      <w:r>
        <w:rPr>
          <w:b/>
        </w:rPr>
        <w:t>Support status and governing source [required]:</w:t>
      </w:r>
      <w:r>
        <w:t xml:space="preserve"> [Enter your response]</w:t>
      </w:r>
    </w:p>
    <w:p>
      <w:pPr>
        <w:pStyle w:val="ListBullet"/>
      </w:pPr>
      <w:r>
        <w:rPr>
          <w:b/>
        </w:rPr>
        <w:t>Fact owner, checked date, and refresh triggers [required]:</w:t>
      </w:r>
      <w:r>
        <w:t xml:space="preserve"> [Enter your response]</w:t>
      </w:r>
    </w:p>
    <w:p>
      <w:pPr>
        <w:pStyle w:val="ListBullet"/>
      </w:pPr>
      <w:r>
        <w:rPr>
          <w:b/>
        </w:rPr>
        <w:t>Primary buyer, use case, and qualification boundary [required]:</w:t>
      </w:r>
      <w:r>
        <w:t xml:space="preserve"> [Enter your response]</w:t>
      </w:r>
    </w:p>
    <w:p>
      <w:pPr>
        <w:pStyle w:val="Heading2"/>
      </w:pPr>
      <w:r>
        <w:t>Connection contract</w:t>
      </w:r>
    </w:p>
    <w:p>
      <w:pPr>
        <w:pStyle w:val="ListBullet"/>
      </w:pPr>
      <w:r>
        <w:rPr>
          <w:b/>
        </w:rPr>
        <w:t>Method [native / partner or iPaaS / custom API / manual file]:</w:t>
      </w:r>
      <w:r>
        <w:t xml:space="preserve"> [Enter your response]</w:t>
      </w:r>
    </w:p>
    <w:p>
      <w:pPr>
        <w:pStyle w:val="ListBullet"/>
      </w:pPr>
      <w:r>
        <w:rPr>
          <w:b/>
        </w:rPr>
        <w:t>Builder, operator, and support owner:</w:t>
      </w:r>
      <w:r>
        <w:t xml:space="preserve"> [Enter your response]</w:t>
      </w:r>
    </w:p>
    <w:p>
      <w:pPr>
        <w:pStyle w:val="ListBullet"/>
      </w:pPr>
      <w:r>
        <w:rPr>
          <w:b/>
        </w:rPr>
        <w:t>Required accounts, plans, add-ons, and separately charged services:</w:t>
      </w:r>
      <w:r>
        <w:t xml:space="preserve"> [Enter your response]</w:t>
      </w:r>
    </w:p>
    <w:p>
      <w:pPr>
        <w:pStyle w:val="ListBullet"/>
      </w:pPr>
      <w:r>
        <w:rPr>
          <w:b/>
        </w:rPr>
        <w:t>Installation surface and setup CTA:</w:t>
      </w:r>
      <w:r>
        <w:t xml:space="preserve"> [Enter your response]</w:t>
      </w:r>
    </w:p>
    <w:p>
      <w:pPr>
        <w:pStyle w:val="ListBullet"/>
      </w:pPr>
      <w:r>
        <w:rPr>
          <w:b/>
        </w:rPr>
        <w:t>Authentication and required roles or permissions:</w:t>
      </w:r>
      <w:r>
        <w:t xml:space="preserve"> [Enter your response]</w:t>
      </w:r>
    </w:p>
    <w:p>
      <w:pPr>
        <w:pStyle w:val="ListBullet"/>
      </w:pPr>
      <w:r>
        <w:rPr>
          <w:b/>
        </w:rPr>
        <w:t>Source objects and eligible states:</w:t>
      </w:r>
      <w:r>
        <w:t xml:space="preserve"> [Enter your response]</w:t>
      </w:r>
    </w:p>
    <w:p>
      <w:pPr>
        <w:pStyle w:val="ListBullet"/>
      </w:pPr>
      <w:r>
        <w:rPr>
          <w:b/>
        </w:rPr>
        <w:t>Trigger or schedule:</w:t>
      </w:r>
      <w:r>
        <w:t xml:space="preserve"> [Enter your response]</w:t>
      </w:r>
    </w:p>
    <w:p>
      <w:pPr>
        <w:pStyle w:val="ListBullet"/>
      </w:pPr>
      <w:r>
        <w:rPr>
          <w:b/>
        </w:rPr>
        <w:t>Direction [A to B / B to A / two-way by object]:</w:t>
      </w:r>
      <w:r>
        <w:t xml:space="preserve"> [Enter your response]</w:t>
      </w:r>
    </w:p>
    <w:p>
      <w:pPr>
        <w:pStyle w:val="ListBullet"/>
      </w:pPr>
      <w:r>
        <w:rPr>
          <w:b/>
        </w:rPr>
        <w:t>Destination objects or actions:</w:t>
      </w:r>
      <w:r>
        <w:t xml:space="preserve"> [Enter your response]</w:t>
      </w:r>
    </w:p>
    <w:p>
      <w:pPr>
        <w:pStyle w:val="ListBullet"/>
      </w:pPr>
      <w:r>
        <w:rPr>
          <w:b/>
        </w:rPr>
        <w:t>Create, update, delete, duplicate, and retry behavior:</w:t>
      </w:r>
      <w:r>
        <w:t xml:space="preserve"> [Enter your response]</w:t>
      </w:r>
    </w:p>
    <w:p>
      <w:pPr>
        <w:pStyle w:val="ListBullet"/>
      </w:pPr>
      <w:r>
        <w:rPr>
          <w:b/>
        </w:rPr>
        <w:t>Real-time, scheduled, or manual cadence:</w:t>
      </w:r>
      <w:r>
        <w:t xml:space="preserve"> [Enter your response]</w:t>
      </w:r>
    </w:p>
    <w:p>
      <w:pPr>
        <w:pStyle w:val="ListBullet"/>
      </w:pPr>
      <w:r>
        <w:rPr>
          <w:b/>
        </w:rPr>
        <w:t>Field mapping, filters, volume, region, or version limits:</w:t>
      </w:r>
      <w:r>
        <w:t xml:space="preserve"> [Enter your response]</w:t>
      </w:r>
    </w:p>
    <w:p>
      <w:pPr>
        <w:pStyle w:val="ListBullet"/>
      </w:pPr>
      <w:r>
        <w:rPr>
          <w:b/>
        </w:rPr>
        <w:t>Historical backfill and attachment behavior:</w:t>
      </w:r>
      <w:r>
        <w:t xml:space="preserve"> [Enter your response]</w:t>
      </w:r>
    </w:p>
    <w:p>
      <w:pPr>
        <w:pStyle w:val="ListBullet"/>
      </w:pPr>
      <w:r>
        <w:rPr>
          <w:b/>
        </w:rPr>
        <w:t>Data visibility or security boundary:</w:t>
      </w:r>
      <w:r>
        <w:t xml:space="preserve"> [Enter your response]</w:t>
      </w:r>
    </w:p>
    <w:p>
      <w:pPr>
        <w:pStyle w:val="ListBullet"/>
      </w:pPr>
      <w:r>
        <w:rPr>
          <w:b/>
        </w:rPr>
        <w:t>Failure notice, recovery step, and escalation route:</w:t>
      </w:r>
      <w:r>
        <w:t xml:space="preserve"> [Enter your response]</w:t>
      </w:r>
    </w:p>
    <w:p>
      <w:pPr>
        <w:pStyle w:val="ListBullet"/>
      </w:pPr>
      <w:r>
        <w:rPr>
          <w:b/>
        </w:rPr>
        <w:t>Explicit unsupported workflows:</w:t>
      </w:r>
      <w:r>
        <w:t xml:space="preserve"> [Enter your response]</w:t>
      </w:r>
    </w:p>
    <w:p>
      <w:pPr>
        <w:pStyle w:val="Heading2"/>
      </w:pPr>
      <w:r>
        <w:t>Page plan</w:t>
      </w:r>
    </w:p>
    <w:p>
      <w:r>
        <w:rPr>
          <w:b/>
        </w:rPr>
        <w:t>1. Opening answer:</w:t>
      </w:r>
      <w:r>
        <w:t xml:space="preserve"> pair, method, direction, best fit, and main limit.</w:t>
      </w:r>
    </w:p>
    <w:p>
      <w:r>
        <w:rPr>
          <w:b/>
        </w:rPr>
        <w:t>2. What connects:</w:t>
      </w:r>
      <w:r>
        <w:t xml:space="preserve"> exact object, field, trigger, direction, and cadence table.</w:t>
      </w:r>
    </w:p>
    <w:p>
      <w:r>
        <w:rPr>
          <w:b/>
        </w:rPr>
        <w:t>3. Requirements:</w:t>
      </w:r>
      <w:r>
        <w:t xml:space="preserve"> accounts, plans, cost or quote path, roles, and permissions.</w:t>
      </w:r>
    </w:p>
    <w:p>
      <w:r>
        <w:rPr>
          <w:b/>
        </w:rPr>
        <w:t>4. Limits:</w:t>
      </w:r>
      <w:r>
        <w:t xml:space="preserve"> excluded data, updates, deletions, backfill, volume, region, and failure handling.</w:t>
      </w:r>
    </w:p>
    <w:p>
      <w:r>
        <w:rPr>
          <w:b/>
        </w:rPr>
        <w:t>5. Setup and support:</w:t>
      </w:r>
      <w:r>
        <w:t xml:space="preserve"> prerequisites, ordered steps, validation, owner by issue, and one accurate CTA.</w:t>
      </w:r>
    </w:p>
    <w:p>
      <w:pPr>
        <w:pStyle w:val="Heading2"/>
      </w:pPr>
      <w:r>
        <w:t>Owner QA before publishing</w:t>
      </w:r>
    </w:p>
    <w:p>
      <w:pPr>
        <w:pStyle w:val="ListBullet"/>
      </w:pPr>
      <w:r>
        <w:t>Confirm the connection in current governing documentation or a recorded scoped test.</w:t>
      </w:r>
    </w:p>
    <w:p>
      <w:pPr>
        <w:pStyle w:val="ListBullet"/>
      </w:pPr>
      <w:r>
        <w:t>Have the responsible product, security, pricing, partner, and support owners verify facts.</w:t>
      </w:r>
    </w:p>
    <w:p>
      <w:pPr>
        <w:pStyle w:val="ListBullet"/>
      </w:pPr>
      <w:r>
        <w:t>Replace broad claims such as “seamless two-way sync” with object-level direction and limits.</w:t>
      </w:r>
    </w:p>
    <w:p>
      <w:pPr>
        <w:pStyle w:val="ListBullet"/>
      </w:pPr>
      <w:r>
        <w:t>Check visible title, H1, canonical, indexability, descriptive internal links, structured-data agreement, setup links, and mobile rendering.</w:t>
      </w:r>
    </w:p>
    <w:p>
      <w:pPr>
        <w:pStyle w:val="ListBullet"/>
      </w:pPr>
      <w:r>
        <w:t>Record completed checks, unresolved facts, approver, and next review date.</w:t>
      </w:r>
    </w:p>
    <w:p>
      <w:pPr>
        <w:pStyle w:val="Heading2"/>
      </w:pPr>
      <w:r>
        <w:t>Measurement plan</w:t>
      </w:r>
    </w:p>
    <w:p>
      <w:pPr>
        <w:pStyle w:val="ListBullet"/>
      </w:pPr>
      <w:r>
        <w:rPr>
          <w:b/>
        </w:rPr>
        <w:t>Discovery:</w:t>
      </w:r>
      <w:r>
        <w:t xml:space="preserve"> eligible query impressions and clicks; separately identified AI-referral sessions.</w:t>
      </w:r>
    </w:p>
    <w:p>
      <w:pPr>
        <w:pStyle w:val="ListBullet"/>
      </w:pPr>
      <w:r>
        <w:rPr>
          <w:b/>
        </w:rPr>
        <w:t>Actions:</w:t>
      </w:r>
      <w:r>
        <w:t xml:space="preserve"> brief copy, setup open, install start, contact, trial, and completed setup where observable.</w:t>
      </w:r>
    </w:p>
    <w:p>
      <w:pPr>
        <w:pStyle w:val="ListBullet"/>
      </w:pPr>
      <w:r>
        <w:rPr>
          <w:b/>
        </w:rPr>
        <w:t>Proposed event names only:</w:t>
      </w:r>
      <w:r>
        <w:t xml:space="preserve"> integration_brief_copy, integration_setup_open, integration_install_start, integration_contact, trial_start.</w:t>
      </w:r>
    </w:p>
    <w:p>
      <w:pPr>
        <w:pStyle w:val="ListBullet"/>
      </w:pPr>
      <w:r>
        <w:t>Keep query, session, event, account, and customer denominators separate. Preserve unattributed traffic; avoid causal claims.</w:t>
      </w:r>
    </w:p>
    <w:p>
      <w:pPr>
        <w:pStyle w:val="Heading2"/>
      </w:pPr>
      <w:r>
        <w:t>Filled fictional example ClearDesk LedgerLane</w:t>
      </w:r>
    </w:p>
    <w:p>
      <w:pPr>
        <w:pStyle w:val="ListBullet"/>
      </w:pPr>
      <w:r>
        <w:rPr>
          <w:b/>
        </w:rPr>
        <w:t>Fictional status:</w:t>
      </w:r>
      <w:r>
        <w:t xml:space="preserve"> supported, partner-built connection listed by ClearDesk; no account test was performed.</w:t>
      </w:r>
    </w:p>
    <w:p>
      <w:pPr>
        <w:pStyle w:val="ListBullet"/>
      </w:pPr>
      <w:r>
        <w:rPr>
          <w:b/>
        </w:rPr>
        <w:t>Buyer job:</w:t>
      </w:r>
      <w:r>
        <w:t xml:space="preserve"> export newly approved ClearDesk invoices into LedgerLane for bookkeeping.</w:t>
      </w:r>
    </w:p>
    <w:p>
      <w:pPr>
        <w:pStyle w:val="ListBullet"/>
      </w:pPr>
      <w:r>
        <w:rPr>
          <w:b/>
        </w:rPr>
        <w:t>Method and direction:</w:t>
      </w:r>
      <w:r>
        <w:t xml:space="preserve"> partner-operated, one-way ClearDesk → LedgerLane.</w:t>
      </w:r>
    </w:p>
    <w:p>
      <w:pPr>
        <w:pStyle w:val="ListBullet"/>
      </w:pPr>
      <w:r>
        <w:rPr>
          <w:b/>
        </w:rPr>
        <w:t>Trigger and cadence:</w:t>
      </w:r>
      <w:r>
        <w:t xml:space="preserve"> approved invoices queue for a daily 02:00 UTC export; this is not real-time.</w:t>
      </w:r>
    </w:p>
    <w:p>
      <w:pPr>
        <w:pStyle w:val="ListBullet"/>
      </w:pPr>
      <w:r>
        <w:rPr>
          <w:b/>
        </w:rPr>
        <w:t>Objects:</w:t>
      </w:r>
      <w:r>
        <w:t xml:space="preserve"> invoice and customer IDs, dates, currency, lines, subtotal, tax, and total create one LedgerLane invoice.</w:t>
      </w:r>
    </w:p>
    <w:p>
      <w:pPr>
        <w:pStyle w:val="ListBullet"/>
      </w:pPr>
      <w:r>
        <w:rPr>
          <w:b/>
        </w:rPr>
        <w:t>Required fictional access:</w:t>
      </w:r>
      <w:r>
        <w:t xml:space="preserve"> ClearDesk Growth or Enterprise, LedgerLane Business, a ClearDesk admin, and a LedgerLane billing admin. Partner service pricing is quote-based.</w:t>
      </w:r>
    </w:p>
    <w:p>
      <w:pPr>
        <w:pStyle w:val="ListBullet"/>
      </w:pPr>
      <w:r>
        <w:rPr>
          <w:b/>
        </w:rPr>
        <w:t>Limits:</w:t>
      </w:r>
      <w:r>
        <w:t xml:space="preserve"> no attachments, deletion propagation, later field updates, historical backfill, or LedgerLane-to-ClearDesk writeback.</w:t>
      </w:r>
    </w:p>
    <w:p>
      <w:pPr>
        <w:pStyle w:val="ListBullet"/>
      </w:pPr>
      <w:r>
        <w:rPr>
          <w:b/>
        </w:rPr>
        <w:t>Permissions:</w:t>
      </w:r>
      <w:r>
        <w:t xml:space="preserve"> the listed fields reach the partner and LedgerLane under their fictional access terms; the buyer must review them.</w:t>
      </w:r>
    </w:p>
    <w:p>
      <w:pPr>
        <w:pStyle w:val="ListBullet"/>
      </w:pPr>
      <w:r>
        <w:rPr>
          <w:b/>
        </w:rPr>
        <w:t>Support:</w:t>
      </w:r>
      <w:r>
        <w:t xml:space="preserve"> partner handles installation and authentication; ClearDesk owns source-field eligibility; LedgerLane owns destination validation errors.</w:t>
      </w:r>
    </w:p>
    <w:p>
      <w:pPr>
        <w:pStyle w:val="ListBullet"/>
      </w:pPr>
      <w:r>
        <w:rPr>
          <w:b/>
        </w:rPr>
        <w:t>CTA:</w:t>
      </w:r>
      <w:r>
        <w:t xml:space="preserve"> Open setup guide. Validate one non-production invoice before enabling the daily schedule.</w:t>
      </w:r>
    </w:p>
    <w:p>
      <w:pPr>
        <w:pStyle w:val="ListBullet"/>
      </w:pPr>
      <w:r>
        <w:rPr>
          <w:b/>
        </w:rPr>
        <w:t>Opening answer:</w:t>
      </w:r>
      <w:r>
        <w:t xml:space="preserve"> “ClearDesk connects to LedgerLane through a partner-built, one-way daily export of newly approved invoices. It requires the stated plans and admin roles; it does not sync attachments, deletions, later changes, historical invoices, or LedgerLane data back to ClearDesk.”</w:t>
      </w:r>
    </w:p>
    <w:p>
      <w:r>
        <w:t>Manual brief with a fictional example. Verify the live pair, commercial terms, permissions, limits, and support route before publication.</w:t>
      </w:r>
    </w:p>
    <w:p>
      <w:pPr>
        <w:pStyle w:val="Heading1"/>
        <w:pageBreakBefore/>
      </w:pPr>
      <w:r>
        <w:t>Part 2 Before and after rewrite</w:t>
      </w:r>
    </w:p>
    <w:p>
      <w:pPr>
        <w:pStyle w:val="Heading3"/>
      </w:pPr>
      <w:r>
        <w:t>What does a precise integration answer look like</w:t>
      </w:r>
    </w:p>
    <w:p>
      <w:r>
        <w:rPr>
          <w:b/>
        </w:rPr>
        <w:t>Fictional before:</w:t>
      </w:r>
      <w:r>
        <w:t xml:space="preserve"> “Connect ClearDesk and LedgerLane for seamless two-way sync. Keep all invoice data current automatically in real time.” That copy overstates the fictional product because the supported workflow is a partner-operated daily export in one direction.</w:t>
      </w:r>
    </w:p>
    <w:p>
      <w:r>
        <w:rPr>
          <w:b/>
        </w:rPr>
        <w:t>Fictional after:</w:t>
      </w:r>
      <w:r>
        <w:t xml:space="preserve"> “ClearDesk connects to LedgerLane through a partner-built, one-way daily export of newly approved invoices. ClearDesk Growth or Enterprise and LedgerLane Business are required. The export does not include attachments, deletions, later updates, historical backfill, or LedgerLane-to-ClearDesk changes. Review permissions, then validate one non-production invoice in the setup guide.”</w:t>
      </w:r>
    </w:p>
    <w:p>
      <w:r>
        <w:t>The revision exposes the mechanism, direction, cadence, plan gates, limits, and next step. ClearDesk and LedgerLane are invented; this is not a real integration, customer result, ranking observation, or account test.</w:t>
      </w:r>
    </w:p>
    <w:p>
      <w:pPr>
        <w:pStyle w:val="Heading2"/>
      </w:pPr>
      <w:r>
        <w:t>Use this pack</w:t>
      </w:r>
    </w:p>
    <w:p>
      <w:r>
        <w:t>1. Save a copy for one supported product pair and complete the blank fields from their governing sources.</w:t>
      </w:r>
    </w:p>
    <w:p>
      <w:r>
        <w:t>2. Use the fictional pair and rewrite to check direction, cadence, plans, permissions, limits and support ownership. Replace all invented details before applying them to a real offer.</w:t>
      </w:r>
    </w:p>
    <w:p>
      <w:r>
        <w:t>3. Keep unresolved facts visible and complete owner QA before publication. The proposed measurement events require separate instrumentation.</w:t>
      </w:r>
    </w:p>
    <w:p>
      <w:r>
        <w:rPr>
          <w:b/>
        </w:rPr>
        <w:t>Next workflow:</w:t>
      </w:r>
      <w:r>
        <w:t xml:space="preserve"> Evaluate the Fix Engine — https://rankecho.io/product/fix-engine. Inspect a sample fix — https://rankecho.io/sample-fix first. Full-page writing or refreshing is a separate content add-on — https://rankecho.io/pricing/content, not included with the visibility subscription.</w:t>
      </w:r>
    </w:p>
    <w:sectPr w:rsidR="00FC693F" w:rsidRPr="0006063C" w:rsidSect="00034616">
      <w:footerReference w:type="default" r:id="rId9"/>
      <w:pgSz w:w="12240" w:h="15840"/>
      <w:pgMar w:top="936" w:right="1152" w:bottom="1224" w:left="1152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template pack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 w:line="254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4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SaaS integration page brief</dc:title>
  <dc:subject>Blank brief and fictional integration example</dc:subject>
  <dc:creator>RankEcho</dc:creator>
  <cp:keywords/>
  <dc:description>generated by python-docx</dc:description>
  <cp:lastModifiedBy/>
  <cp:revision>1</cp:revision>
  <dcterms:created xsi:type="dcterms:W3CDTF">2026-09-16T00:00:00Z</dcterms:created>
  <dcterms:modified xsi:type="dcterms:W3CDTF">2026-09-16T00:00:00Z</dcterms:modified>
  <cp:category/>
</cp:coreProperties>
</file>