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Goodie agency cost and attribution</w:t>
      </w:r>
    </w:p>
    <w:p>
      <w:r>
        <w:t>Compare the full client workload and the evidence behind revenue claims. Record pitch workspaces separately from paying client workspaces, then reconcile the quote and attribution definitions.</w:t>
      </w:r>
    </w:p>
    <w:p>
      <w:r>
        <w:t>Editable worksheet · Version 1.0 · 17 September 2026</w:t>
      </w:r>
    </w:p>
    <w:p>
      <w:hyperlink r:id="rId9">
        <w:r>
          <w:t>Complete comparison — https://rankecho.io/compare/goodie-ai-alternatives</w:t>
        </w:r>
      </w:hyperlink>
    </w:p>
    <w:p>
      <w:pPr>
        <w:pStyle w:val="Heading1"/>
      </w:pPr>
      <w:r>
        <w:t>1 Define clients and workload</w:t>
      </w:r>
    </w:p>
    <w:p>
      <w:r>
        <w:t>A requested workload is not a purchased allowance. Twenty prompts across five surfaces daily for 30 days requests 3000 responses before repeats.</w:t>
      </w:r>
    </w:p>
    <w:p>
      <w:pPr>
        <w:keepNext/>
      </w:pPr>
      <w:r>
        <w:rPr>
          <w:b/>
        </w:rPr>
        <w:t>Decision and approver</w:t>
      </w:r>
    </w:p>
    <w:p>
      <w:r>
        <w:t>Record agency, client owners, required outcome and review date.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Workspace schedule</w:t>
      </w:r>
    </w:p>
    <w:p>
      <w:r>
        <w:t>List active clients, new pitches, pitch duration, conversion dates and required ongoing brand plans.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Requested panel</w:t>
      </w:r>
    </w:p>
    <w:p>
      <w:r>
        <w:t>Record prompt IDs, surfaces, regions, languages, frequency, days and retries per client.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Vendor consumption rules</w:t>
      </w:r>
    </w:p>
    <w:p>
      <w:r>
        <w:t>Record prompt, response, optimization or weighted credit units. For AthenaHQ, save calculator inputs including model weights and fan out; confirm the quote.</w:t>
      </w:r>
    </w:p>
    <w:p>
      <w:pPr>
        <w:spacing w:after="240"/>
      </w:pPr>
      <w:r>
        <w:t>[Enter your response]</w:t>
      </w:r>
    </w:p>
    <w:p>
      <w:pPr>
        <w:pStyle w:val="Heading1"/>
        <w:pageBreakBefore/>
      </w:pPr>
      <w:r>
        <w:t>2 Reconcile the twelve month cost</w:t>
      </w:r>
    </w:p>
    <w:p>
      <w:r>
        <w:t>Keep billing commitment and cash payments separate from a monthly equivalent. Unknown charges stay visible.</w:t>
      </w:r>
    </w:p>
    <w:p>
      <w:pPr>
        <w:keepNext/>
      </w:pPr>
      <w:r>
        <w:rPr>
          <w:b/>
        </w:rPr>
        <w:t>Quote and billing basis</w:t>
      </w:r>
    </w:p>
    <w:p>
      <w:r>
        <w:t>Record quote URL, date, currency, tier, tax, renewal, quarterly or annual commitment and cancellation terms.</w:t>
      </w:r>
    </w:p>
    <w:p>
      <w:pPr>
        <w:spacing w:after="240"/>
      </w:pPr>
      <w:r>
        <w:t>[Enter your response]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04"/>
        <w:gridCol w:w="4896"/>
        <w:gridCol w:w="2880"/>
      </w:tblGrid>
      <w:tr>
        <w:trPr>
          <w:cantSplit/>
          <w:tblHeader/>
        </w:trPr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FF6"/>
          </w:tcPr>
          <w:p>
            <w:pPr>
              <w:spacing w:after="40" w:line="254" w:lineRule="auto"/>
            </w:pPr>
            <w:r>
              <w:rPr>
                <w:b/>
                <w:color w:val="000000"/>
                <w:sz w:val="20"/>
              </w:rPr>
              <w:t>Payable component</w:t>
            </w:r>
          </w:p>
        </w:tc>
        <w:tc>
          <w:tcPr>
            <w:tcW w:type="dxa" w:w="48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FF6"/>
          </w:tcPr>
          <w:p>
            <w:pPr>
              <w:spacing w:after="40" w:line="254" w:lineRule="auto"/>
            </w:pPr>
            <w:r>
              <w:rPr>
                <w:b/>
                <w:color w:val="000000"/>
                <w:sz w:val="20"/>
              </w:rPr>
              <w:t>Quantity and rate basis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FF6"/>
          </w:tcPr>
          <w:p>
            <w:pPr>
              <w:spacing w:after="40" w:line="254" w:lineRule="auto"/>
            </w:pPr>
            <w:r>
              <w:rPr>
                <w:b/>
                <w:color w:val="000000"/>
                <w:sz w:val="20"/>
              </w:rPr>
              <w:t>Annual cost or unknown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Agency subscription</w:t>
            </w:r>
          </w:p>
        </w:tc>
        <w:tc>
          <w:tcPr>
            <w:tcW w:type="dxa" w:w="48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[Pitch allowance and billing term]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[Amount or unknown]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Active client plans</w:t>
            </w:r>
          </w:p>
        </w:tc>
        <w:tc>
          <w:tcPr>
            <w:tcW w:type="dxa" w:w="48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[Each brand, start date, plan and term]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[Amount or unknown]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Extras and retained tools</w:t>
            </w:r>
          </w:p>
        </w:tc>
        <w:tc>
          <w:tcPr>
            <w:tcW w:type="dxa" w:w="48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[Credits, API, integrations and other subscriptions]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[Amount or unknown]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Implementation and labor</w:t>
            </w:r>
          </w:p>
        </w:tc>
        <w:tc>
          <w:tcPr>
            <w:tcW w:type="dxa" w:w="48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[Setup, review, publishing and reconciliation hours]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[Amount or unknown]</w:t>
            </w:r>
          </w:p>
        </w:tc>
      </w:tr>
    </w:tbl>
    <w:p>
      <w:pPr>
        <w:spacing w:after="40"/>
      </w:pPr>
    </w:p>
    <w:p>
      <w:pPr>
        <w:pStyle w:val="Heading1"/>
        <w:pageBreakBefore/>
      </w:pPr>
      <w:r>
        <w:t>3 Reconcile attribution</w:t>
      </w:r>
    </w:p>
    <w:p>
      <w:r>
        <w:t>Separate observed referral and conversion revenue, modeled influence and a causal claim. Preserve source records so another analyst can reproduce the result.</w:t>
      </w:r>
    </w:p>
    <w:p>
      <w:pPr>
        <w:keepNext/>
      </w:pPr>
      <w:r>
        <w:rPr>
          <w:b/>
        </w:rPr>
        <w:t>Definitions and common filters</w:t>
      </w:r>
    </w:p>
    <w:p>
      <w:r>
        <w:t>Record GA4 property, date window, timezone, currency, identity rules, referral exclusions and conversion event.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Raw join evidence</w:t>
      </w:r>
    </w:p>
    <w:p>
      <w:r>
        <w:t>Link referral, session, conversion and revenue records with join keys; record unmatched rows and agreed tolerance.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Revenue reconciliation</w:t>
      </w:r>
    </w:p>
    <w:p>
      <w:r>
        <w:t>Compare totals to the source; record deduplication, refunds, missing identifiers and unexplained differences.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Claim boundary</w:t>
      </w:r>
    </w:p>
    <w:p>
      <w:r>
        <w:t>Label observed versus modeled results. Leave unobserved prompts unmapped; causal lift requires a separate study design.</w:t>
      </w:r>
    </w:p>
    <w:p>
      <w:pPr>
        <w:spacing w:after="240"/>
      </w:pPr>
      <w:r>
        <w:t>[Enter your response]</w:t>
      </w:r>
    </w:p>
    <w:p>
      <w:pPr>
        <w:pStyle w:val="Heading1"/>
        <w:pageBreakBefore/>
      </w:pPr>
      <w:r>
        <w:t>4 Review execution and decide</w:t>
      </w:r>
    </w:p>
    <w:p>
      <w:r>
        <w:t>A report or suggested action is not a shipped page change. Keep approval and publication evidence in the decision record.</w:t>
      </w:r>
    </w:p>
    <w:p>
      <w:pPr>
        <w:keepNext/>
      </w:pPr>
      <w:r>
        <w:rPr>
          <w:b/>
        </w:rPr>
        <w:t>Execution acceptance</w:t>
      </w:r>
    </w:p>
    <w:p>
      <w:r>
        <w:t>Save one approved task and resulting brief, draft or page diff; record native, external and manual work plus publishing owner.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Required conditions</w:t>
      </w:r>
    </w:p>
    <w:p>
      <w:r>
        <w:t>Mark each workload, cost, export and attribution requirement pass, fail or unknown with evidence.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Decision and migration</w:t>
      </w:r>
    </w:p>
    <w:p>
      <w:r>
        <w:t>Choose stay, switch, supplement or hold; retain old answers, reports, definitions and permissions for an overlap period.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Sign off and revisit</w:t>
      </w:r>
    </w:p>
    <w:p>
      <w:r>
        <w:t>Record approver, quote expiry, unresolved conditions and next review date.</w:t>
      </w:r>
    </w:p>
    <w:p>
      <w:pPr>
        <w:spacing w:after="240"/>
      </w:pPr>
      <w:r>
        <w:t>[Enter your response]</w:t>
      </w:r>
    </w:p>
    <w:p>
      <w:r>
        <w:t>Worksheet version 1.0 · 17 September 2026. Complete one record per candidate. Blank fields request your evidence; this pack does not report vendor account tests or executed pilots.</w:t>
      </w:r>
    </w:p>
    <w:p>
      <w:r>
        <w:t>Inspect a reviewed change at https://rankecho.io/sample-fix and the Fix Engine at https://rankecho.io/product/fix-engine. Full-page writing is separate and requires a paid base plan plus a content add-on: https://rankecho.io/pricing/content.</w:t>
      </w:r>
    </w:p>
    <w:sectPr w:rsidR="00FC693F" w:rsidRPr="0006063C" w:rsidSect="00034616">
      <w:footerReference w:type="default" r:id="rId10"/>
      <w:pgSz w:w="12240" w:h="15840"/>
      <w:pgMar w:top="936" w:right="1080" w:bottom="1008" w:left="1080" w:header="72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RankEcho worksheet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 w:line="254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4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4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20" w:line="254" w:lineRule="auto"/>
      <w:contextualSpacing/>
    </w:pPr>
    <w:rPr>
      <w:rFonts w:ascii="Calibri" w:hAnsi="Calibri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rankecho.io/compare/goodie-ai-alternatives" TargetMode="Externa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Goodie agency cost and attribution</dc:title>
  <dc:subject>Editable purchase evaluation worksheet</dc:subject>
  <dc:creator>RankEcho</dc:creator>
  <cp:keywords/>
  <dc:description>generated by python-docx</dc:description>
  <cp:lastModifiedBy/>
  <cp:revision>1</cp:revision>
  <dcterms:created xsi:type="dcterms:W3CDTF">2026-09-17T00:00:00Z</dcterms:created>
  <dcterms:modified xsi:type="dcterms:W3CDTF">2026-09-17T00:00:00Z</dcterms:modified>
  <cp:category/>
</cp:coreProperties>
</file>