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Change versus noise review worksheet</w:t>
      </w:r>
    </w:p>
    <w:p>
      <w:r>
        <w:t>Compare complete baseline and later repeat sets under one registered binary feature rule. Record which cells meet the descriptive change rule, retain negative directions and gaps, and choose a supported next action.</w:t>
      </w:r>
    </w:p>
    <w:p>
      <w:r>
        <w:t>Editable worksheet · Version 1.0 · 25 September 2026</w:t>
      </w:r>
    </w:p>
    <w:p>
      <w:hyperlink r:id="rId9">
        <w:r>
          <w:t>Complete guide — https://rankecho.io/resources/prove/change-vs-noise</w:t>
        </w:r>
      </w:hyperlink>
    </w:p>
    <w:p>
      <w:pPr>
        <w:pStyle w:val="Heading1"/>
      </w:pPr>
      <w:r>
        <w:t>1 Register the comparison</w:t>
      </w:r>
    </w:p>
    <w:p>
      <w:r>
        <w:t>Freeze the feature, context, repeat depth and rule before the change. The fictional example registers five prompts in two contexts and three repeats per window.</w:t>
      </w:r>
    </w:p>
    <w:p>
      <w:pPr>
        <w:keepNext/>
      </w:pPr>
      <w:r>
        <w:rPr>
          <w:b/>
        </w:rPr>
        <w:t>Decision and fixed panel</w:t>
      </w:r>
    </w:p>
    <w:p>
      <w:pPr>
        <w:keepNext/>
      </w:pPr>
      <w:r>
        <w:t>Record decision, panel ID and version, reviewer, registration time, stable cell IDs and exact prompt text. Keep the same prompt and context coordinates in both windows.</w:t>
      </w:r>
    </w:p>
    <w:p>
      <w:pPr>
        <w:spacing w:after="240"/>
      </w:pPr>
      <w:r>
        <w:t>[Enter your response]</w:t>
      </w:r>
    </w:p>
    <w:p>
      <w:pPr>
        <w:keepNext/>
      </w:pPr>
      <w:r>
        <w:rPr>
          <w:b/>
        </w:rPr>
        <w:t>Binary feature and coding rule</w:t>
      </w:r>
    </w:p>
    <w:p>
      <w:pPr>
        <w:keepNext/>
      </w:pPr>
      <w:r>
        <w:t>For each prompt, name the feature and define present, absent and unclassifiable evidence. Freeze the rubric and raw answer storage. A missing answer never receives an absent mark.</w:t>
      </w:r>
    </w:p>
    <w:p>
      <w:pPr>
        <w:spacing w:after="240"/>
      </w:pPr>
      <w:r>
        <w:t>[Enter your response]</w:t>
      </w:r>
    </w:p>
    <w:p>
      <w:pPr>
        <w:keepNext/>
      </w:pPr>
      <w:r>
        <w:rPr>
          <w:b/>
        </w:rPr>
        <w:t>Context and ordered windows</w:t>
      </w:r>
    </w:p>
    <w:p>
      <w:pPr>
        <w:keepNext/>
      </w:pPr>
      <w:r>
        <w:t>Record service, surface, model label, locale, session and collection procedure. Predeclare three baseline and three later repeats per cell; baseline ends before accepted deployment and later collection starts afterward.</w:t>
      </w:r>
    </w:p>
    <w:p>
      <w:pPr>
        <w:spacing w:after="240"/>
      </w:pPr>
      <w:r>
        <w:t>[Enter your response]</w:t>
      </w:r>
    </w:p>
    <w:p>
      <w:pPr>
        <w:pStyle w:val="Heading1"/>
        <w:pageBreakBefore/>
      </w:pPr>
      <w:r>
        <w:t>2 Preserve the complete repeat sets</w:t>
      </w:r>
    </w:p>
    <w:p>
      <w:r>
        <w:t>Copy the records for every planned cell and repeat. Keep saved observations even when a cell cannot enter the comparison; do not select only favorable repeats.</w:t>
      </w:r>
    </w:p>
    <w:p>
      <w:pPr>
        <w:keepNext/>
      </w:pPr>
      <w:r>
        <w:rPr>
          <w:b/>
        </w:rPr>
        <w:t>Cell identity and change evidence</w:t>
      </w:r>
    </w:p>
    <w:p>
      <w:pPr>
        <w:keepNext/>
      </w:pPr>
      <w:r>
        <w:t>Record cell, prompt and context IDs, linked Find record, accepted change version and actual deployment time. Note concurrent changes and deviations from the registered collection procedure.</w:t>
      </w:r>
    </w:p>
    <w:p>
      <w:pPr>
        <w:spacing w:after="240"/>
      </w:pPr>
      <w:r>
        <w:t>[Enter your response]</w:t>
      </w:r>
    </w:p>
    <w:p>
      <w:pPr>
        <w:keepNext/>
      </w:pPr>
      <w:r>
        <w:rPr>
          <w:b/>
        </w:rPr>
        <w:t>Each repeat and its evidence</w:t>
      </w:r>
    </w:p>
    <w:p>
      <w:pPr>
        <w:keepNext/>
      </w:pPr>
      <w:r>
        <w:t>Record window, repeat index, actual UTC capture time, raw answer pointer, coded present or absent value and supporting passage. Keep baseline and later values in their original sets.</w:t>
      </w:r>
    </w:p>
    <w:p>
      <w:pPr>
        <w:spacing w:after="240"/>
      </w:pPr>
      <w:r>
        <w:t>[Enter your response]</w:t>
      </w:r>
    </w:p>
    <w:p>
      <w:pPr>
        <w:keepNext/>
      </w:pPr>
      <w:r>
        <w:rPr>
          <w:b/>
        </w:rPr>
        <w:t>Comparability decision</w:t>
      </w:r>
    </w:p>
    <w:p>
      <w:pPr>
        <w:keepNext/>
      </w:pPr>
      <w:r>
        <w:t>Require all three classifiable marks in each window and unchanged coordinates. Retain contaminated, unavailable, failed or incomparable status with reasons. Incomplete or unclear sets receive no comparison class.</w:t>
      </w:r>
    </w:p>
    <w:p>
      <w:pPr>
        <w:spacing w:after="240"/>
      </w:pPr>
      <w:r>
        <w:t>[Enter your response]</w:t>
      </w:r>
    </w:p>
    <w:p>
      <w:pPr>
        <w:pStyle w:val="Heading1"/>
        <w:pageBreakBefore/>
      </w:pPr>
      <w:r>
        <w:t>3 Apply the registered rule</w:t>
      </w:r>
    </w:p>
    <w:p>
      <w:r>
        <w:t>In the fictional OrbitDesk example, P01 and P04 move from all absent to all present; P06 reverses from all present to all absent. P02, P03 and P05 remain within observed variation.</w:t>
      </w:r>
    </w:p>
    <w:p>
      <w:pPr>
        <w:keepNext/>
      </w:pPr>
      <w:r>
        <w:rPr>
          <w:b/>
        </w:rPr>
        <w:t>Class from the full sets</w:t>
      </w:r>
    </w:p>
    <w:p>
      <w:pPr>
        <w:keepNext/>
      </w:pPr>
      <w:r>
        <w:t>Outside observed variation requires a stable baseline set and a stable later set with the opposite value. Every other eligible complete cell is within observed variation; that label does not prove no change.</w:t>
      </w:r>
    </w:p>
    <w:p>
      <w:pPr>
        <w:spacing w:after="240"/>
      </w:pPr>
      <w:r>
        <w:t>[Enter your response]</w:t>
      </w:r>
    </w:p>
    <w:p>
      <w:pPr>
        <w:keepNext/>
      </w:pPr>
      <w:r>
        <w:rPr>
          <w:b/>
        </w:rPr>
        <w:t>Direction and retained exclusions</w:t>
      </w:r>
    </w:p>
    <w:p>
      <w:pPr>
        <w:keepNext/>
      </w:pPr>
      <w:r>
        <w:t>For outside cells, record positive for absent to present and negative for present to absent. Within cells use mixed or none. P07 contaminated, P08 unavailable, P09 failed and P10 incomparable retain null marks and class.</w:t>
      </w:r>
    </w:p>
    <w:p>
      <w:pPr>
        <w:spacing w:after="240"/>
      </w:pPr>
      <w:r>
        <w:t>[Enter your response]</w:t>
      </w:r>
    </w:p>
    <w:p>
      <w:pPr>
        <w:keepNext/>
      </w:pPr>
      <w:r>
        <w:rPr>
          <w:b/>
        </w:rPr>
        <w:t>Counts and coverage</w:t>
      </w:r>
    </w:p>
    <w:p>
      <w:pPr>
        <w:keepNext/>
      </w:pPr>
      <w:r>
        <w:t>Reconcile ten fixed cells, six comparable cells and 36 observed feature marks in the example. Comparable equals outside plus within; outside equals positive plus negative. Zero comparable cells displays N/A, never a no-change result.</w:t>
      </w:r>
    </w:p>
    <w:p>
      <w:pPr>
        <w:spacing w:after="240"/>
      </w:pPr>
      <w:r>
        <w:t>[Enter your response]</w:t>
      </w:r>
    </w:p>
    <w:tbl>
      <w:tblPr>
        <w:tblW w:type="auto" w:w="0"/>
        <w:tblLayout w:type="fixed"/>
        <w:tblLook w:firstColumn="1" w:firstRow="1" w:lastColumn="0" w:lastRow="0" w:noHBand="0" w:noVBand="1" w:val="04A0"/>
      </w:tblPr>
      <w:tblGrid>
        <w:gridCol w:w="4176"/>
        <w:gridCol w:w="1584"/>
        <w:gridCol w:w="4320"/>
      </w:tblGrid>
      <w:tr>
        <w:trPr>
          <w:cantSplit/>
          <w:tblHeader/>
        </w:trPr>
        <w:tc>
          <w:tcPr>
            <w:tcW w:type="dxa" w:w="41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Fictional result</w:t>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jc w:val="center"/>
            </w:pPr>
            <w:r>
              <w:rPr>
                <w:b/>
                <w:color w:val="000000"/>
                <w:sz w:val="20"/>
              </w:rPr>
              <w:t>Count</w:t>
            </w:r>
          </w:p>
        </w:tc>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Meaning</w:t>
            </w:r>
          </w:p>
        </w:tc>
      </w:tr>
      <w:tr>
        <w:trPr>
          <w:cantSplit/>
        </w:trPr>
        <w:tc>
          <w:tcPr>
            <w:tcW w:type="dxa" w:w="41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Comparable cells</w:t>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6 of 10</w:t>
            </w:r>
          </w:p>
        </w:tc>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Complete repeat sets</w:t>
            </w:r>
          </w:p>
        </w:tc>
      </w:tr>
      <w:tr>
        <w:trPr>
          <w:cantSplit/>
        </w:trPr>
        <w:tc>
          <w:tcPr>
            <w:tcW w:type="dxa" w:w="41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Outside observed variation</w:t>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3</w:t>
            </w:r>
          </w:p>
        </w:tc>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Registered rule met</w:t>
            </w:r>
          </w:p>
        </w:tc>
      </w:tr>
      <w:tr>
        <w:trPr>
          <w:cantSplit/>
        </w:trPr>
        <w:tc>
          <w:tcPr>
            <w:tcW w:type="dxa" w:w="41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Within observed variation</w:t>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3</w:t>
            </w:r>
          </w:p>
        </w:tc>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Rule not met</w:t>
            </w:r>
          </w:p>
        </w:tc>
      </w:tr>
      <w:tr>
        <w:trPr>
          <w:cantSplit/>
        </w:trPr>
        <w:tc>
          <w:tcPr>
            <w:tcW w:type="dxa" w:w="41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Positive and negative outside</w:t>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2 and 1</w:t>
            </w:r>
          </w:p>
        </w:tc>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Direction preserved</w:t>
            </w:r>
          </w:p>
        </w:tc>
      </w:tr>
    </w:tbl>
    <w:p>
      <w:pPr>
        <w:spacing w:after="40"/>
      </w:pPr>
    </w:p>
    <w:p>
      <w:pPr>
        <w:pStyle w:val="Heading1"/>
        <w:pageBreakBefore/>
      </w:pPr>
      <w:r>
        <w:t>4 Review and use the result</w:t>
      </w:r>
    </w:p>
    <w:p>
      <w:r>
        <w:t>Report descriptive counts for the saved repeat sets. The class is not a significance test, improvement rate, estimate of natural noise or evidence that the deployment caused the observation.</w:t>
      </w:r>
    </w:p>
    <w:p>
      <w:pPr>
        <w:keepNext/>
      </w:pPr>
      <w:r>
        <w:rPr>
          <w:b/>
        </w:rPr>
        <w:t>Independent reconstruction</w:t>
      </w:r>
    </w:p>
    <w:p>
      <w:pPr>
        <w:keepNext/>
      </w:pPr>
      <w:r>
        <w:t>Ask a reviewer to reproduce eligibility, class, direction and coverage from the frozen rubric and full records. Resolve disagreements with evidence and retain the correction trail.</w:t>
      </w:r>
    </w:p>
    <w:p>
      <w:pPr>
        <w:spacing w:after="240"/>
      </w:pPr>
      <w:r>
        <w:t>[Enter your response]</w:t>
      </w:r>
    </w:p>
    <w:p>
      <w:pPr>
        <w:keepNext/>
      </w:pPr>
      <w:r>
        <w:rPr>
          <w:b/>
        </w:rPr>
        <w:t>Descriptive conclusion</w:t>
      </w:r>
    </w:p>
    <w:p>
      <w:pPr>
        <w:keepNext/>
      </w:pPr>
      <w:r>
        <w:t>State the observed class counts, negative results and excluded states. Keep within-window pair disagreement, citation rates and this pre/post class separate. Do not turn outside counts into a success probability.</w:t>
      </w:r>
    </w:p>
    <w:p>
      <w:pPr>
        <w:spacing w:after="240"/>
      </w:pPr>
      <w:r>
        <w:t>[Enter your response]</w:t>
      </w:r>
    </w:p>
    <w:p>
      <w:pPr>
        <w:keepNext/>
      </w:pPr>
      <w:r>
        <w:rPr>
          <w:b/>
        </w:rPr>
        <w:t>Next action and owner</w:t>
      </w:r>
    </w:p>
    <w:p>
      <w:pPr>
        <w:keepNext/>
      </w:pPr>
      <w:r>
        <w:t>Choose continue, investigate or stop, with owner, due date and evidence that would change the decision. Another repair needs a directly evidenced defect and its own bounded approval.</w:t>
      </w:r>
    </w:p>
    <w:p>
      <w:pPr>
        <w:spacing w:after="240"/>
      </w:pPr>
      <w:r>
        <w:t>[Enter your response]</w:t>
      </w:r>
    </w:p>
    <w:p>
      <w:r>
        <w:t>Worksheet version 1.0 · 25 September 2026. Complete and repeat records as needed. Blank fields request your evidence; these manual files do not collect answers, publish changes or calculate RankEcho product metrics.</w:t>
      </w:r>
    </w:p>
    <w:p>
      <w:r>
        <w:t>Attach this manual classification to the proof report at https://rankecho.io/templates/proof-report. Use Proof Loop for its supported prompt observations; it does not calculate this outside versus within observed variation class. https://rankecho.io/product/proof-loop</w:t>
      </w:r>
    </w:p>
    <w:sectPr w:rsidR="00FC693F" w:rsidRPr="0006063C" w:rsidSect="00034616">
      <w:footerReference w:type="default" r:id="rId10"/>
      <w:pgSz w:w="12240" w:h="15840"/>
      <w:pgMar w:top="936" w:right="1080" w:bottom="1008" w:left="1080"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RankEcho worksheet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54"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20" w:line="254"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4"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54"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rankecho.io/resources/prove/change-vs-noise"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versus noise review worksheet</dc:title>
  <dc:subject>Editable Prove interpretation review worksheet</dc:subject>
  <dc:creator>RankEcho</dc:creator>
  <cp:keywords/>
  <dc:description>generated by python-docx</dc:description>
  <cp:lastModifiedBy/>
  <cp:revision>1</cp:revision>
  <dcterms:created xsi:type="dcterms:W3CDTF">2026-09-25T00:00:00Z</dcterms:created>
  <dcterms:modified xsi:type="dcterms:W3CDTF">2026-09-25T00:00:00Z</dcterms:modified>
  <cp:category/>
</cp:coreProperties>
</file>