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AthenaHQ credit and editorial evaluation</w:t>
      </w:r>
    </w:p>
    <w:p>
      <w:r>
        <w:t>Decide whether to keep, resize or replace the observation panel. Price the required workload and assign the work from recommendation to publication before comparing candidates.</w:t>
      </w:r>
    </w:p>
    <w:p>
      <w:r>
        <w:t>Editable worksheet · Version 1.0 · 17 September 2026</w:t>
      </w:r>
    </w:p>
    <w:p>
      <w:hyperlink r:id="rId9">
        <w:r>
          <w:t>Complete comparison — https://rankecho.io/compare/athenahq-alternatives</w:t>
        </w:r>
      </w:hyperlink>
    </w:p>
    <w:p>
      <w:pPr>
        <w:pStyle w:val="Heading1"/>
      </w:pPr>
      <w:r>
        <w:t>1 Define the required panel</w:t>
      </w:r>
    </w:p>
    <w:p>
      <w:r>
        <w:t>Use one record per candidate, including AthenaHQ. Set the requirements before testing.</w:t>
      </w:r>
    </w:p>
    <w:p>
      <w:pPr>
        <w:keepNext/>
      </w:pPr>
      <w:r>
        <w:rPr>
          <w:b/>
        </w:rPr>
        <w:t>Decision and owner</w:t>
      </w:r>
    </w:p>
    <w:p>
      <w:r>
        <w:t>Record the candidate, evaluator, client or brand, decision date and reason for considering a change.</w:t>
      </w:r>
    </w:p>
    <w:p>
      <w:pPr>
        <w:spacing w:after="240"/>
      </w:pPr>
      <w:r>
        <w:t>[Enter your response]</w:t>
      </w:r>
    </w:p>
    <w:p>
      <w:pPr>
        <w:keepNext/>
      </w:pPr>
      <w:r>
        <w:rPr>
          <w:b/>
        </w:rPr>
        <w:t>Prompts and locations</w:t>
      </w:r>
    </w:p>
    <w:p>
      <w:r>
        <w:t>Link the exact prompt list and one owned page. Record location, language, persona settings and the answer surfaces you need.</w:t>
      </w:r>
    </w:p>
    <w:p>
      <w:pPr>
        <w:spacing w:after="240"/>
      </w:pPr>
      <w:r>
        <w:t>[Enter your response]</w:t>
      </w:r>
    </w:p>
    <w:p>
      <w:pPr>
        <w:keepNext/>
      </w:pPr>
      <w:r>
        <w:rPr>
          <w:b/>
        </w:rPr>
        <w:t>Must haves and budget</w:t>
      </w:r>
    </w:p>
    <w:p>
      <w:r>
        <w:t>Set required cadence, history, exports, review controls and a monthly spending ceiling. State what would make you keep the incumbent.</w:t>
      </w:r>
    </w:p>
    <w:p>
      <w:pPr>
        <w:spacing w:after="240"/>
      </w:pPr>
      <w:r>
        <w:t>[Enter your response]</w:t>
      </w:r>
    </w:p>
    <w:p>
      <w:pPr>
        <w:pStyle w:val="Heading1"/>
        <w:pageBreakBefore/>
      </w:pPr>
      <w:r>
        <w:t>2 Calculate credits and headroom</w:t>
      </w:r>
    </w:p>
    <w:p>
      <w:r>
        <w:t>The public calculator cases were reproduced on 17 September 2026. All use 20 prompts, one location, seven days per week, zero personas and 4.33 weeks. The base models are ChatGPT, Google AI Overviews and Perplexity at one credit each; Claude costs five. Fan out on multiplies credits by four. These are estimates, not invoices.</w:t>
      </w:r>
    </w:p>
    <w:p>
      <w:pPr>
        <w:keepNext/>
      </w:pPr>
      <w:r>
        <w:rPr>
          <w:b/>
        </w:rPr>
        <w:t>Model weights and repetitions</w:t>
      </w:r>
    </w:p>
    <w:p>
      <w:r>
        <w:t>List selected models and credits per response, prompts per location, locations, days per week and fan out. Test persona settings separately; the examples use zero personas.</w:t>
      </w:r>
    </w:p>
    <w:p>
      <w:pPr>
        <w:spacing w:after="240"/>
      </w:pPr>
      <w:r>
        <w:t>[Enter your response]</w:t>
      </w:r>
    </w:p>
    <w:p>
      <w:pPr>
        <w:keepNext/>
      </w:pPr>
      <w:r>
        <w:rPr>
          <w:b/>
        </w:rPr>
        <w:t>Monthly estimate and reserve</w:t>
      </w:r>
    </w:p>
    <w:p>
      <w:r>
        <w:t>Calculate prompts × locations × sum of model weights × fan out × days per week × 4.33. Record rounding, included credits, reserve and extra credits needed.</w:t>
      </w:r>
    </w:p>
    <w:p>
      <w:pPr>
        <w:spacing w:after="240"/>
      </w:pPr>
      <w:r>
        <w:t>[Enter your response]</w:t>
      </w:r>
    </w:p>
    <w:p>
      <w:pPr>
        <w:keepNext/>
      </w:pPr>
      <w:r>
        <w:rPr>
          <w:b/>
        </w:rPr>
        <w:t>Quote and billing terms</w:t>
      </w:r>
    </w:p>
    <w:p>
      <w:r>
        <w:t>Attach the dated calculator capture and written quote. Record subscription, extra credits, API cost, commitment, cancellation, tax and implementation labor.</w:t>
      </w:r>
    </w:p>
    <w:p>
      <w:pPr>
        <w:spacing w:after="240"/>
      </w:pPr>
      <w:r>
        <w:t>[Enter your response]</w:t>
      </w:r>
    </w:p>
    <w:tbl>
      <w:tblPr>
        <w:tblW w:type="auto" w:w="0"/>
        <w:tblLayout w:type="fixed"/>
        <w:tblLook w:firstColumn="1" w:firstRow="1" w:lastColumn="0" w:lastRow="0" w:noHBand="0" w:noVBand="1" w:val="04A0"/>
      </w:tblPr>
      <w:tblGrid>
        <w:gridCol w:w="4320"/>
        <w:gridCol w:w="2880"/>
        <w:gridCol w:w="2880"/>
      </w:tblGrid>
      <w:tr>
        <w:trPr>
          <w:cantSplit/>
          <w:tblHeader/>
        </w:trPr>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Example panel</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Credits per run</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Credits per month</w:t>
            </w:r>
          </w:p>
        </w:tc>
      </w:tr>
      <w:tr>
        <w:trPr>
          <w:cantSplit/>
        </w:trPr>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3 models, fan out off</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60</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1,819</w:t>
            </w:r>
          </w:p>
        </w:tc>
      </w:tr>
      <w:tr>
        <w:trPr>
          <w:cantSplit/>
        </w:trPr>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Add Claude, fan out off</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160</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4,850</w:t>
            </w:r>
          </w:p>
        </w:tc>
      </w:tr>
      <w:tr>
        <w:trPr>
          <w:cantSplit/>
        </w:trPr>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Same 4 models, fan out on</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640</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19,398</w:t>
            </w:r>
          </w:p>
        </w:tc>
      </w:tr>
    </w:tbl>
    <w:p>
      <w:pPr>
        <w:spacing w:after="40"/>
      </w:pPr>
    </w:p>
    <w:p>
      <w:pPr>
        <w:pStyle w:val="Heading1"/>
        <w:pageBreakBefore/>
      </w:pPr>
      <w:r>
        <w:t>3 Test the editorial handoff</w:t>
      </w:r>
    </w:p>
    <w:p>
      <w:r>
        <w:t>Run one prompt cluster and owned page through the proposed workflow. Keep test drafts unpublished until review is complete.</w:t>
      </w:r>
    </w:p>
    <w:p>
      <w:pPr>
        <w:keepNext/>
      </w:pPr>
      <w:r>
        <w:rPr>
          <w:b/>
        </w:rPr>
        <w:t>Recommendation and artifact</w:t>
      </w:r>
    </w:p>
    <w:p>
      <w:r>
        <w:t>Save the original gap, cited sources and recommendation. Identify whether the deliverable is guidance, a brief, a draft or an approved change.</w:t>
      </w:r>
    </w:p>
    <w:p>
      <w:pPr>
        <w:spacing w:after="240"/>
      </w:pPr>
      <w:r>
        <w:t>[Enter your response]</w:t>
      </w:r>
    </w:p>
    <w:p>
      <w:pPr>
        <w:keepNext/>
      </w:pPr>
      <w:r>
        <w:rPr>
          <w:b/>
        </w:rPr>
        <w:t>Review and claim correction</w:t>
      </w:r>
    </w:p>
    <w:p>
      <w:r>
        <w:t>Assign writer and reviewer. In an unpublished test, check whether a deliberately incorrect claim is caught, corrected and recorded before approval.</w:t>
      </w:r>
    </w:p>
    <w:p>
      <w:pPr>
        <w:spacing w:after="240"/>
      </w:pPr>
      <w:r>
        <w:t>[Enter your response]</w:t>
      </w:r>
    </w:p>
    <w:p>
      <w:pPr>
        <w:keepNext/>
      </w:pPr>
      <w:r>
        <w:rPr>
          <w:b/>
        </w:rPr>
        <w:t>Publication and rollback</w:t>
      </w:r>
    </w:p>
    <w:p>
      <w:r>
        <w:t>Name the publisher, required permissions, approval record, page diff, scheduled shipment and rollback owner. Verify the actual integration on the quoted plan.</w:t>
      </w:r>
    </w:p>
    <w:p>
      <w:pPr>
        <w:spacing w:after="240"/>
      </w:pPr>
      <w:r>
        <w:t>[Enter your response]</w:t>
      </w:r>
    </w:p>
    <w:p>
      <w:pPr>
        <w:keepNext/>
      </w:pPr>
      <w:r>
        <w:rPr>
          <w:b/>
        </w:rPr>
        <w:t>Export and observation</w:t>
      </w:r>
    </w:p>
    <w:p>
      <w:r>
        <w:t>Save an actual permitted export with prompt text, model, settings, timestamps, answer and citations. Define the later observation window and how unavailable results are labelled.</w:t>
      </w:r>
    </w:p>
    <w:p>
      <w:pPr>
        <w:spacing w:after="240"/>
      </w:pPr>
      <w:r>
        <w:t>[Enter your response]</w:t>
      </w:r>
    </w:p>
    <w:p>
      <w:pPr>
        <w:pStyle w:val="Heading1"/>
        <w:pageBreakBefore/>
      </w:pPr>
      <w:r>
        <w:t>4 Record the decision</w:t>
      </w:r>
    </w:p>
    <w:p>
      <w:r>
        <w:t>Choose the least expensive configuration that passes the requirements. A smaller panel or no switch can be a valid result.</w:t>
      </w:r>
    </w:p>
    <w:p>
      <w:pPr>
        <w:keepNext/>
      </w:pPr>
      <w:r>
        <w:rPr>
          <w:b/>
        </w:rPr>
        <w:t>Pass or fail with evidence</w:t>
      </w:r>
    </w:p>
    <w:p>
      <w:r>
        <w:t>For each must have, record pass, fail or untested, the evidence link and unresolved cost or ownership questions.</w:t>
      </w:r>
    </w:p>
    <w:p>
      <w:pPr>
        <w:spacing w:after="240"/>
      </w:pPr>
      <w:r>
        <w:t>[Enter your response]</w:t>
      </w:r>
    </w:p>
    <w:p>
      <w:pPr>
        <w:keepNext/>
      </w:pPr>
      <w:r>
        <w:rPr>
          <w:b/>
        </w:rPr>
        <w:t>Stay resize or replace</w:t>
      </w:r>
    </w:p>
    <w:p>
      <w:r>
        <w:t>Record the selected option, tradeoffs, approved budget and sign off. Separate a changed answer from evidence that publication caused the change.</w:t>
      </w:r>
    </w:p>
    <w:p>
      <w:pPr>
        <w:spacing w:after="240"/>
      </w:pPr>
      <w:r>
        <w:t>[Enter your response]</w:t>
      </w:r>
    </w:p>
    <w:p>
      <w:pPr>
        <w:keepNext/>
      </w:pPr>
      <w:r>
        <w:rPr>
          <w:b/>
        </w:rPr>
        <w:t>Handoff and exit</w:t>
      </w:r>
    </w:p>
    <w:p>
      <w:r>
        <w:t>Assign exports, open drafts, client reports, billing dates and access removal. State the acceptance date and condition that would reverse the decision.</w:t>
      </w:r>
    </w:p>
    <w:p>
      <w:pPr>
        <w:spacing w:after="240"/>
      </w:pPr>
      <w:r>
        <w:t>[Enter your response]</w:t>
      </w:r>
    </w:p>
    <w:p>
      <w:r>
        <w:t>Worksheet version 1.0 · 17 September 2026. Complete one record per candidate. Blank fields request your evidence; this pack does not report vendor account tests or executed pilots.</w:t>
      </w:r>
    </w:p>
    <w:p>
      <w:r>
        <w:t>Inspect a reviewed change at https://rankecho.io/sample-fix and the Fix Engine at https://rankecho.io/product/fix-engine. Full-page writing is separate and requires a paid base plan plus a content add-on: https://rankecho.io/pricing/content.</w:t>
      </w:r>
    </w:p>
    <w:sectPr w:rsidR="00FC693F" w:rsidRPr="0006063C" w:rsidSect="00034616">
      <w:footerReference w:type="default" r:id="rId10"/>
      <w:pgSz w:w="12240" w:h="15840"/>
      <w:pgMar w:top="936" w:right="1080" w:bottom="1008" w:left="108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worksheet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4"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line="25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4"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rankecho.io/compare/athenahq-alternatives"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AthenaHQ credit and editorial evaluation</dc:title>
  <dc:subject>Editable vendor evaluation worksheet</dc:subject>
  <dc:creator>RankEcho</dc:creator>
  <cp:keywords/>
  <dc:description>generated by python-docx</dc:description>
  <cp:lastModifiedBy/>
  <cp:revision>1</cp:revision>
  <dcterms:created xsi:type="dcterms:W3CDTF">2026-09-17T00:00:00Z</dcterms:created>
  <dcterms:modified xsi:type="dcterms:W3CDTF">2026-09-17T00:00:00Z</dcterms:modified>
  <cp:category/>
</cp:coreProperties>
</file>