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Answer volatility pair review worksheet</w:t>
      </w:r>
    </w:p>
    <w:p>
      <w:r>
        <w:t>Code repeat answers under one frozen feature rubric, retain the evidence for each run, and enumerate every comparable unordered pair within its prompt, surface, controlled context and window. Use the resulting counts to describe the registered sample only.</w:t>
      </w:r>
    </w:p>
    <w:p>
      <w:r>
        <w:t>Editable worksheet · Version 1.0 · 25 September 2026</w:t>
      </w:r>
    </w:p>
    <w:p>
      <w:hyperlink r:id="rId9">
        <w:r>
          <w:t>Complete guide — https://rankecho.io/resources/prove/answer-volatility</w:t>
        </w:r>
      </w:hyperlink>
    </w:p>
    <w:p>
      <w:pPr>
        <w:pStyle w:val="Heading1"/>
      </w:pPr>
      <w:r>
        <w:t>1 Freeze the question and feature rubric</w:t>
      </w:r>
    </w:p>
    <w:p>
      <w:r>
        <w:t>Finish this section before viewing the repeat answers. Create a new version if a material field changes. The fictional G02 rubric uses I for the standard interval and E for the shock exception.</w:t>
      </w:r>
    </w:p>
    <w:p>
      <w:pPr>
        <w:keepNext/>
      </w:pPr>
      <w:r>
        <w:rPr>
          <w:b/>
        </w:rPr>
        <w:t>Decision and panel</w:t>
      </w:r>
    </w:p>
    <w:p>
      <w:pPr>
        <w:keepNext/>
      </w:pPr>
      <w:r>
        <w:t>Record the question this measure will inform, panel ID and version, exact prompt, locale, owner and planned window or cadence.</w:t>
      </w:r>
    </w:p>
    <w:p>
      <w:pPr>
        <w:spacing w:after="240"/>
      </w:pPr>
      <w:r>
        <w:t>[Enter your response]</w:t>
      </w:r>
    </w:p>
    <w:p>
      <w:pPr>
        <w:keepNext/>
      </w:pPr>
      <w:r>
        <w:rPr>
          <w:b/>
        </w:rPr>
        <w:t>Surface and context</w:t>
      </w:r>
    </w:p>
    <w:p>
      <w:pPr>
        <w:keepNext/>
      </w:pPr>
      <w:r>
        <w:t>Record named service and surface, account or session state, exposed model label, tool or search mode, collection procedure and planned repeat count for each group.</w:t>
      </w:r>
    </w:p>
    <w:p>
      <w:pPr>
        <w:spacing w:after="240"/>
      </w:pPr>
      <w:r>
        <w:t>[Enter your response]</w:t>
      </w:r>
    </w:p>
    <w:p>
      <w:pPr>
        <w:keepNext/>
      </w:pPr>
      <w:r>
        <w:rPr>
          <w:b/>
        </w:rPr>
        <w:t>Signature rules</w:t>
      </w:r>
    </w:p>
    <w:p>
      <w:pPr>
        <w:keepNext/>
      </w:pPr>
      <w:r>
        <w:t>Define each feature's positive, negative and unclassifiable rules. Name rubric version, calibration reviewer, raw answer storage and how a visible 00 differs from no observed answer.</w:t>
      </w:r>
    </w:p>
    <w:p>
      <w:pPr>
        <w:spacing w:after="240"/>
      </w:pPr>
      <w:r>
        <w:t>[Enter your response]</w:t>
      </w:r>
    </w:p>
    <w:p>
      <w:pPr>
        <w:pStyle w:val="Heading1"/>
        <w:pageBreakBefore/>
      </w:pPr>
      <w:r>
        <w:t>2 Code every planned repeat</w:t>
      </w:r>
    </w:p>
    <w:p>
      <w:r>
        <w:t>Copy this section for each cell. Do not turn a failed or unavailable attempt into an answer signature. Keep a pointer to its failure or availability record.</w:t>
      </w:r>
    </w:p>
    <w:p>
      <w:pPr>
        <w:keepNext/>
      </w:pPr>
      <w:r>
        <w:rPr>
          <w:b/>
        </w:rPr>
        <w:t>Cell and group identity</w:t>
      </w:r>
    </w:p>
    <w:p>
      <w:pPr>
        <w:keepNext/>
      </w:pPr>
      <w:r>
        <w:t>Record stable cell ID, prompt ID, surface, context ID, window and repeat index; verify uniqueness and the planned cell count.</w:t>
      </w:r>
    </w:p>
    <w:p>
      <w:pPr>
        <w:spacing w:after="240"/>
      </w:pPr>
      <w:r>
        <w:t>[Enter your response]</w:t>
      </w:r>
    </w:p>
    <w:p>
      <w:pPr>
        <w:keepNext/>
      </w:pPr>
      <w:r>
        <w:rPr>
          <w:b/>
        </w:rPr>
        <w:t>Run state and evidence</w:t>
      </w:r>
    </w:p>
    <w:p>
      <w:pPr>
        <w:keepNext/>
      </w:pPr>
      <w:r>
        <w:t>Record UTC collection time, observed, unclassifiable, unavailable, failed or planned state with reason and raw answer or run evidence pointer.</w:t>
      </w:r>
    </w:p>
    <w:p>
      <w:pPr>
        <w:spacing w:after="240"/>
      </w:pPr>
      <w:r>
        <w:t>[Enter your response]</w:t>
      </w:r>
    </w:p>
    <w:p>
      <w:pPr>
        <w:keepNext/>
      </w:pPr>
      <w:r>
        <w:rPr>
          <w:b/>
        </w:rPr>
        <w:t>Independent feature coding</w:t>
      </w:r>
    </w:p>
    <w:p>
      <w:pPr>
        <w:keepNext/>
      </w:pPr>
      <w:r>
        <w:t>For a classifiable observed answer, enter the frozen feature signature and each feature's supporting answer passage. Resolve coding disagreements without changing the rubric to fit an outcome.</w:t>
      </w:r>
    </w:p>
    <w:p>
      <w:pPr>
        <w:spacing w:after="240"/>
      </w:pPr>
      <w:r>
        <w:t>[Enter your response]</w:t>
      </w:r>
    </w:p>
    <w:p>
      <w:pPr>
        <w:pStyle w:val="Heading1"/>
        <w:pageBreakBefore/>
      </w:pPr>
      <w:r>
        <w:t>3 Enumerate comparable pairs</w:t>
      </w:r>
    </w:p>
    <w:p>
      <w:r>
        <w:t>Within each prompt, surface, controlled context and window, pair only distinct classifiable observed repeats. Record each unordered pair once, never compare across contexts, surfaces or windows, and preserve the cell IDs used.</w:t>
      </w:r>
    </w:p>
    <w:p>
      <w:pPr>
        <w:keepNext/>
      </w:pPr>
      <w:r>
        <w:rPr>
          <w:b/>
        </w:rPr>
        <w:t>Eligible repeat set</w:t>
      </w:r>
    </w:p>
    <w:p>
      <w:pPr>
        <w:keepNext/>
      </w:pPr>
      <w:r>
        <w:t>List planned, observed classifiable, observed unclassifiable, unavailable and failed counts for each group; enumerate the eligible cell IDs.</w:t>
      </w:r>
    </w:p>
    <w:p>
      <w:pPr>
        <w:spacing w:after="240"/>
      </w:pPr>
      <w:r>
        <w:t>[Enter your response]</w:t>
      </w:r>
    </w:p>
    <w:p>
      <w:pPr>
        <w:keepNext/>
      </w:pPr>
      <w:r>
        <w:rPr>
          <w:b/>
        </w:rPr>
        <w:t>Pair by pair comparison</w:t>
      </w:r>
    </w:p>
    <w:p>
      <w:pPr>
        <w:keepNext/>
      </w:pPr>
      <w:r>
        <w:t>For every eligible i &lt; j, record both IDs, signatures and raw evidence pointers, then mark same or unequal. Retain all comparisons, including agreements.</w:t>
      </w:r>
    </w:p>
    <w:p>
      <w:pPr>
        <w:spacing w:after="240"/>
      </w:pPr>
      <w:r>
        <w:t>[Enter your response]</w:t>
      </w:r>
    </w:p>
    <w:p>
      <w:pPr>
        <w:keepNext/>
      </w:pPr>
      <w:r>
        <w:rPr>
          <w:b/>
        </w:rPr>
        <w:t>Group arithmetic</w:t>
      </w:r>
    </w:p>
    <w:p>
      <w:pPr>
        <w:keepNext/>
      </w:pPr>
      <w:r>
        <w:t>Verify N = k(k - 1) / 2 from k classifiable observed repeats. Count unequal pairs n and show n/N; label k &lt; 2 insufficient rather than 0%.</w:t>
      </w:r>
    </w:p>
    <w:p>
      <w:pPr>
        <w:spacing w:after="240"/>
      </w:pPr>
      <w:r>
        <w:t>[Enter your response]</w:t>
      </w:r>
    </w:p>
    <w:tbl>
      <w:tblPr>
        <w:tblW w:type="auto" w:w="0"/>
        <w:tblLayout w:type="fixed"/>
        <w:tblLook w:firstColumn="1" w:firstRow="1" w:lastColumn="0" w:lastRow="0" w:noHBand="0" w:noVBand="1" w:val="04A0"/>
      </w:tblPr>
      <w:tblGrid>
        <w:gridCol w:w="1584"/>
        <w:gridCol w:w="2592"/>
        <w:gridCol w:w="2880"/>
        <w:gridCol w:w="3024"/>
      </w:tblGrid>
      <w:tr>
        <w:trPr>
          <w:cantSplit/>
          <w:tblHeader/>
        </w:trPr>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Fictional group</w:t>
            </w:r>
          </w:p>
        </w:tc>
        <w:tc>
          <w:tcPr>
            <w:tcW w:type="dxa" w:w="2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Eligible signatures</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Unequal pairs</w:t>
            </w:r>
          </w:p>
        </w:tc>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Result</w:t>
            </w:r>
          </w:p>
        </w:tc>
      </w:tr>
      <w:tr>
        <w:trPr>
          <w:cantSplit/>
        </w:trPr>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Baseline A</w:t>
            </w:r>
          </w:p>
        </w:tc>
        <w:tc>
          <w:tcPr>
            <w:tcW w:type="dxa" w:w="2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V01 10, V02 00, V03 10</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V01 V02; V02 V03</w:t>
            </w:r>
          </w:p>
        </w:tc>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2/3 = 66.7%</w:t>
            </w:r>
          </w:p>
        </w:tc>
      </w:tr>
      <w:tr>
        <w:trPr>
          <w:cantSplit/>
        </w:trPr>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Baseline B</w:t>
            </w:r>
          </w:p>
        </w:tc>
        <w:tc>
          <w:tcPr>
            <w:tcW w:type="dxa" w:w="2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V04 10, V05 10</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None</w:t>
            </w:r>
          </w:p>
        </w:tc>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0/1 = 0.0%</w:t>
            </w:r>
          </w:p>
        </w:tc>
      </w:tr>
      <w:tr>
        <w:trPr>
          <w:cantSplit/>
        </w:trPr>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Later A</w:t>
            </w:r>
          </w:p>
        </w:tc>
        <w:tc>
          <w:tcPr>
            <w:tcW w:type="dxa" w:w="2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V01 11, V02 10, V03 11</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V01 V02; V02 V03</w:t>
            </w:r>
          </w:p>
        </w:tc>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2/3 = 66.7%</w:t>
            </w:r>
          </w:p>
        </w:tc>
      </w:tr>
      <w:tr>
        <w:trPr>
          <w:cantSplit/>
        </w:trPr>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Later B</w:t>
            </w:r>
          </w:p>
        </w:tc>
        <w:tc>
          <w:tcPr>
            <w:tcW w:type="dxa" w:w="2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V04 11, V05 11</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None</w:t>
            </w:r>
          </w:p>
        </w:tc>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0/1 = 0.0%</w:t>
            </w:r>
          </w:p>
        </w:tc>
      </w:tr>
    </w:tbl>
    <w:p>
      <w:pPr>
        <w:spacing w:after="40"/>
      </w:pPr>
    </w:p>
    <w:p>
      <w:pPr>
        <w:pStyle w:val="Heading1"/>
        <w:pageBreakBefore/>
      </w:pPr>
      <w:r>
        <w:t>4 Reconcile and hand off the result</w:t>
      </w:r>
    </w:p>
    <w:p>
      <w:r>
        <w:t>The example's V06 is unavailable at baseline and failed later, with no signature or pair in either window. Equal pooled rates do not imply equal feature completeness.</w:t>
      </w:r>
    </w:p>
    <w:p>
      <w:pPr>
        <w:keepNext/>
      </w:pPr>
      <w:r>
        <w:rPr>
          <w:b/>
        </w:rPr>
        <w:t>Pooled result and coverage</w:t>
      </w:r>
    </w:p>
    <w:p>
      <w:pPr>
        <w:keepNext/>
      </w:pPr>
      <w:r>
        <w:t>Sum unequal pairs and comparable pairs across eligible groups for each window. Report group counts and missing states beside the pooled result; if pooled N = 0, label the rate unavailable.</w:t>
      </w:r>
    </w:p>
    <w:p>
      <w:pPr>
        <w:spacing w:after="240"/>
      </w:pPr>
      <w:r>
        <w:t>[Enter your response]</w:t>
      </w:r>
    </w:p>
    <w:p>
      <w:pPr>
        <w:keepNext/>
      </w:pPr>
      <w:r>
        <w:rPr>
          <w:b/>
        </w:rPr>
        <w:t>Separate completeness and limits</w:t>
      </w:r>
    </w:p>
    <w:p>
      <w:pPr>
        <w:keepNext/>
      </w:pPr>
      <w:r>
        <w:t>Report the correctly complete 11 signature only for matched observed cells with its own denominator. Note context, model, retrieval, source or coding changes and do not infer causality or provider-wide reliability.</w:t>
      </w:r>
    </w:p>
    <w:p>
      <w:pPr>
        <w:spacing w:after="240"/>
      </w:pPr>
      <w:r>
        <w:t>[Enter your response]</w:t>
      </w:r>
    </w:p>
    <w:p>
      <w:pPr>
        <w:keepNext/>
      </w:pPr>
      <w:r>
        <w:rPr>
          <w:b/>
        </w:rPr>
        <w:t>Reviewer and decision</w:t>
      </w:r>
    </w:p>
    <w:p>
      <w:pPr>
        <w:keepNext/>
      </w:pPr>
      <w:r>
        <w:t>Record independent arithmetic check, coding reviewer, evidence locations, correction/version history, descriptive conclusion and next owner action. Keep unfavorable and insufficient results.</w:t>
      </w:r>
    </w:p>
    <w:p>
      <w:pPr>
        <w:spacing w:after="240"/>
      </w:pPr>
      <w:r>
        <w:t>[Enter your response]</w:t>
      </w:r>
    </w:p>
    <w:tbl>
      <w:tblPr>
        <w:tblW w:type="auto" w:w="0"/>
        <w:tblLayout w:type="fixed"/>
        <w:tblLook w:firstColumn="1" w:firstRow="1" w:lastColumn="0" w:lastRow="0" w:noHBand="0" w:noVBand="1" w:val="04A0"/>
      </w:tblPr>
      <w:tblGrid>
        <w:gridCol w:w="1584"/>
        <w:gridCol w:w="2592"/>
        <w:gridCol w:w="2880"/>
        <w:gridCol w:w="3024"/>
      </w:tblGrid>
      <w:tr>
        <w:trPr>
          <w:cantSplit/>
          <w:tblHeader/>
        </w:trPr>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Window</w:t>
            </w:r>
          </w:p>
        </w:tc>
        <w:tc>
          <w:tcPr>
            <w:tcW w:type="dxa" w:w="2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A pairs</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B pairs</w:t>
            </w:r>
          </w:p>
        </w:tc>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Pooled result</w:t>
            </w:r>
          </w:p>
        </w:tc>
      </w:tr>
      <w:tr>
        <w:trPr>
          <w:cantSplit/>
        </w:trPr>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Baseline</w:t>
            </w:r>
          </w:p>
        </w:tc>
        <w:tc>
          <w:tcPr>
            <w:tcW w:type="dxa" w:w="2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2/3</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0/1</w:t>
            </w:r>
          </w:p>
        </w:tc>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2/4 = 50.0%</w:t>
            </w:r>
          </w:p>
        </w:tc>
      </w:tr>
      <w:tr>
        <w:trPr>
          <w:cantSplit/>
        </w:trPr>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Later</w:t>
            </w:r>
          </w:p>
        </w:tc>
        <w:tc>
          <w:tcPr>
            <w:tcW w:type="dxa" w:w="2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2/3</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0/1</w:t>
            </w:r>
          </w:p>
        </w:tc>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2/4 = 50.0%</w:t>
            </w:r>
          </w:p>
        </w:tc>
      </w:tr>
      <w:tr>
        <w:trPr>
          <w:cantSplit/>
        </w:trPr>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Matched complete 11</w:t>
            </w:r>
          </w:p>
        </w:tc>
        <w:tc>
          <w:tcPr>
            <w:tcW w:type="dxa" w:w="25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Across V01–V05</w:t>
            </w:r>
          </w:p>
        </w:tc>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V06 excluded</w:t>
            </w:r>
          </w:p>
        </w:tc>
        <w:tc>
          <w:tcPr>
            <w:tcW w:type="dxa" w:w="302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0/5 to 4/5</w:t>
            </w:r>
          </w:p>
        </w:tc>
      </w:tr>
    </w:tbl>
    <w:p>
      <w:pPr>
        <w:spacing w:after="40"/>
      </w:pPr>
    </w:p>
    <w:p>
      <w:r>
        <w:t>Worksheet version 1.0 · 25 September 2026. Complete and repeat records as needed. Blank fields request your evidence; this manual file does not collect provider answers or calculate RankEcho product metrics.</w:t>
      </w:r>
    </w:p>
    <w:p>
      <w:r>
        <w:t>After the manual pair review, use the proof report for the wider before and after record, then evaluate the Proof Loop for its separate engine by run observations. The product does not calculate this feature signature pair metric. https://rankecho.io/product/proof-loop</w:t>
      </w:r>
    </w:p>
    <w:sectPr w:rsidR="00FC693F" w:rsidRPr="0006063C" w:rsidSect="00034616">
      <w:footerReference w:type="default" r:id="rId10"/>
      <w:pgSz w:w="12240" w:h="15840"/>
      <w:pgMar w:top="936" w:right="1080" w:bottom="1008" w:left="1080" w:header="72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RankEcho worksheet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line="254" w:lineRule="auto"/>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20" w:line="254" w:lineRule="auto"/>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54"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line="254" w:lineRule="auto"/>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rankecho.io/resources/prove/answer-volatility"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Answer volatility pair review worksheet</dc:title>
  <dc:subject>Editable Prove answer volatility worksheet</dc:subject>
  <dc:creator>RankEcho</dc:creator>
  <cp:keywords/>
  <dc:description>generated by python-docx</dc:description>
  <cp:lastModifiedBy/>
  <cp:revision>1</cp:revision>
  <dcterms:created xsi:type="dcterms:W3CDTF">2026-09-25T00:00:00Z</dcterms:created>
  <dcterms:modified xsi:type="dcterms:W3CDTF">2026-09-25T00:00:00Z</dcterms:modified>
  <cp:category/>
</cp:coreProperties>
</file>