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 visibility workflow selection</w:t>
      </w:r>
    </w:p>
    <w:p>
      <w:r>
        <w:t>Choose a workflow for the job after an AI visibility check. Compare candidates with the same questions, budget and acceptance criteria, then retain the evidence supporting your decision.</w:t>
      </w:r>
    </w:p>
    <w:p>
      <w:r>
        <w:t>Editable worksheet · Version 1.0 · 20 September 2026</w:t>
      </w:r>
    </w:p>
    <w:p>
      <w:hyperlink r:id="rId9">
        <w:r>
          <w:t>Complete comparison — https://rankecho.io/learn/best-ai-visibility-tools</w:t>
        </w:r>
      </w:hyperlink>
    </w:p>
    <w:p>
      <w:pPr>
        <w:pStyle w:val="Heading1"/>
      </w:pPr>
      <w:r>
        <w:t>1 Set the decision criteria</w:t>
      </w:r>
    </w:p>
    <w:p>
      <w:r>
        <w:t>Use a separate record for each candidate. Agree on the required work and the conditions that would rule a tool out before viewing its scores or sales demonstration.</w:t>
      </w:r>
    </w:p>
    <w:p>
      <w:pPr>
        <w:keepNext/>
      </w:pPr>
      <w:r>
        <w:rPr>
          <w:b/>
        </w:rPr>
        <w:t>Buyer and problem</w:t>
      </w:r>
    </w:p>
    <w:p>
      <w:r>
        <w:t>Record the team, evaluator, decision date, candidate and current workflow. State the decision the software must support and the available staff capacity.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Required workflow</w:t>
      </w:r>
    </w:p>
    <w:p>
      <w:r>
        <w:t>Choose the primary job: a snapshot check, repeated monitoring, market research, content production, implementation or client reporting. Name the people responsible for work outside the software.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Minimum requirements</w:t>
      </w:r>
    </w:p>
    <w:p>
      <w:r>
        <w:t>List required platforms, countries, languages, exports, access controls, implementation outputs and budget. Mark each requirement mandatory or desirable without assigning an overall score yet.</w:t>
      </w:r>
    </w:p>
    <w:p>
      <w:pPr>
        <w:spacing w:after="240"/>
      </w:pPr>
      <w:r>
        <w:t>[Enter your response]</w:t>
      </w:r>
    </w:p>
    <w:p>
      <w:pPr>
        <w:pStyle w:val="Heading1"/>
        <w:pageBreakBefore/>
      </w:pPr>
      <w:r>
        <w:t>2 Use the same workload and cost basis</w:t>
      </w:r>
    </w:p>
    <w:p>
      <w:r>
        <w:t>A low entry price, one-time trial and ongoing monitoring allowance are different offers. Price the configuration you will use and identify any features unavailable in the evaluation.</w:t>
      </w:r>
    </w:p>
    <w:p>
      <w:pPr>
        <w:keepNext/>
      </w:pPr>
      <w:r>
        <w:rPr>
          <w:b/>
        </w:rPr>
        <w:t>Shared prompt panel</w:t>
      </w:r>
    </w:p>
    <w:p>
      <w:r>
        <w:t>Save exact buyer prompts, brands, platforms, locations, cadence and evaluation dates. For an illustrative panel, 5 prompts x 2 platforms x 1 location x 3 runs = 30 scheduled cells; retain failures as missing observations.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Full workflow cost</w:t>
      </w:r>
    </w:p>
    <w:p>
      <w:r>
        <w:t>Record base fee, engine or client add-ons, prompt checks, seats, retained tools, review time and publishing labor. Separate amount due now from monthly equivalent and confirm the cancellation date.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Trial and quote limits</w:t>
      </w:r>
    </w:p>
    <w:p>
      <w:r>
        <w:t>Attach the dated plan or quote. Record which requirements can be tested, which need a demonstration and which remain untested. A vendor claim is not a completed acceptance result.</w:t>
      </w:r>
    </w:p>
    <w:p>
      <w:pPr>
        <w:spacing w:after="240"/>
      </w:pPr>
      <w:r>
        <w:t>[Enter your response]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2880"/>
        <w:gridCol w:w="2880"/>
      </w:tblGrid>
      <w:tr>
        <w:trPr>
          <w:cantSplit/>
          <w:tblHeader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Requirement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Required evidence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Result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Monitoring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Saved prompts, answers, citations and missing cells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Pass / Fail / Untested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Implementation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Reviewed artifact and named publisher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Pass / Fail / Untested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Client reporting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Usable export, access and dated context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Pass / Fail / Untested</w:t>
            </w:r>
          </w:p>
        </w:tc>
      </w:tr>
    </w:tbl>
    <w:p>
      <w:pPr>
        <w:spacing w:after="40"/>
      </w:pPr>
    </w:p>
    <w:p>
      <w:pPr>
        <w:pStyle w:val="Heading1"/>
        <w:pageBreakBefore/>
      </w:pPr>
      <w:r>
        <w:t>3 Follow one finding through the workflow</w:t>
      </w:r>
    </w:p>
    <w:p>
      <w:r>
        <w:t>Use one permitted example from the shared panel. Evaluate the practical handoff as well as the dashboard, and save the evidence behind each result.</w:t>
      </w:r>
    </w:p>
    <w:p>
      <w:pPr>
        <w:keepNext/>
      </w:pPr>
      <w:r>
        <w:rPr>
          <w:b/>
        </w:rPr>
        <w:t>Observation and explanation</w:t>
      </w:r>
    </w:p>
    <w:p>
      <w:r>
        <w:t>Retain the answer, cited pages, date and configuration. Distinguish a missing answer from a brand omission and a proposed explanation from a demonstrated mechanism.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Useful action</w:t>
      </w:r>
    </w:p>
    <w:p>
      <w:r>
        <w:t>Capture what the candidate provides: a recommendation, brief, draft, publishing action or implementation package. Check the sources and record corrections made during human review.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Publication responsibility</w:t>
      </w:r>
    </w:p>
    <w:p>
      <w:r>
        <w:t>Identify the reviewer, approver, publisher and rollback method. Record whether publishing is native, an integration or a manual step, and verify the quoted permissions.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Follow up evidence</w:t>
      </w:r>
    </w:p>
    <w:p>
      <w:r>
        <w:t>Keep the shipment date, unchanged prompt configuration and later answers. Label the result as an observation; concurrent changes and variable answers prevent a simple causal conclusion.</w:t>
      </w:r>
    </w:p>
    <w:p>
      <w:pPr>
        <w:spacing w:after="240"/>
      </w:pPr>
      <w:r>
        <w:t>[Enter your response]</w:t>
      </w:r>
    </w:p>
    <w:p>
      <w:pPr>
        <w:pStyle w:val="Heading1"/>
        <w:pageBreakBefore/>
      </w:pPr>
      <w:r>
        <w:t>4 Record a defensible selection</w:t>
      </w:r>
    </w:p>
    <w:p>
      <w:r>
        <w:t>Reject or resolve a failed mandatory requirement before comparing convenience features. Untested requirements remain open questions rather than passing by default.</w:t>
      </w:r>
    </w:p>
    <w:p>
      <w:pPr>
        <w:keepNext/>
      </w:pPr>
      <w:r>
        <w:rPr>
          <w:b/>
        </w:rPr>
        <w:t>Acceptance and uncertainty</w:t>
      </w:r>
    </w:p>
    <w:p>
      <w:r>
        <w:t>Mark each requirement pass, fail or untested, linking a quote, demonstration or saved observation. List missing evidence and the person responsible for resolving it.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Selected option</w:t>
      </w:r>
    </w:p>
    <w:p>
      <w:r>
        <w:t>Choose keep, supplement, replace or defer. Explain the decision using complete cost and required work; do not infer a guaranteed traffic or citation outcome.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Review and exit</w:t>
      </w:r>
    </w:p>
    <w:p>
      <w:r>
        <w:t>Record the approved budget, implementation owner, trial or renewal deadline, export plan and review date. Define what future evidence would change the decision.</w:t>
      </w:r>
    </w:p>
    <w:p>
      <w:pPr>
        <w:spacing w:after="240"/>
      </w:pPr>
      <w:r>
        <w:t>[Enter your response]</w:t>
      </w:r>
    </w:p>
    <w:p>
      <w:r>
        <w:t>Worksheet version 1.0 · 20 September 2026. Complete one record per candidate. Blank fields request your evidence; this pack does not report vendor account tests or executed pilots.</w:t>
      </w:r>
    </w:p>
    <w:p>
      <w:r>
        <w:t>Inspect a reviewed change at https://rankecho.io/sample-fix and the Fix Engine at https://rankecho.io/product/fix-engine. Full-page writing is separate and requires a paid base plan plus a content add-on: https://rankecho.io/pricing/content.</w:t>
      </w:r>
    </w:p>
    <w:sectPr w:rsidR="00FC693F" w:rsidRPr="0006063C" w:rsidSect="00034616">
      <w:footerReference w:type="default" r:id="rId10"/>
      <w:pgSz w:w="12240" w:h="15840"/>
      <w:pgMar w:top="936" w:right="1080" w:bottom="1008" w:left="1080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RankEcho worksheet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54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4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4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54" w:lineRule="auto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rankecho.io/learn/best-ai-visibility-tools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visibility workflow selection</dc:title>
  <dc:subject>Editable tool selection worksheet</dc:subject>
  <dc:creator>RankEcho</dc:creator>
  <cp:keywords/>
  <dc:description>generated by python-docx</dc:description>
  <cp:lastModifiedBy/>
  <cp:revision>1</cp:revision>
  <dcterms:created xsi:type="dcterms:W3CDTF">2026-09-20T00:00:00Z</dcterms:created>
  <dcterms:modified xsi:type="dcterms:W3CDTF">2026-09-20T00:00:00Z</dcterms:modified>
  <cp:category/>
</cp:coreProperties>
</file>