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citation gap evidence worksheet</w:t>
      </w:r>
    </w:p>
    <w:p>
      <w:r>
        <w:t>Record the collection rules and visible source links behind a missing owned citation. Use this worksheet beside the audit cell ledger to classify an observation and choose one evidence-based next check.</w:t>
      </w:r>
    </w:p>
    <w:p>
      <w:r>
        <w:t>Editable worksheet · Version 1.0 · 21 September 2026</w:t>
      </w:r>
    </w:p>
    <w:p>
      <w:hyperlink r:id="rId9">
        <w:r>
          <w:t>Complete guide — https://rankecho.io/resources/find/ai-citation-gap-analysis</w:t>
        </w:r>
      </w:hyperlink>
    </w:p>
    <w:p>
      <w:pPr>
        <w:pStyle w:val="Heading1"/>
      </w:pPr>
      <w:r>
        <w:t>1 Register the collection rules</w:t>
      </w:r>
    </w:p>
    <w:p>
      <w:r>
        <w:t>Complete this protocol for each planned cell and window before classifying an answer. Join the protocol and source records to the audit ledger using the same cell ID.</w:t>
      </w:r>
    </w:p>
    <w:p>
      <w:pPr>
        <w:keepNext/>
      </w:pPr>
      <w:r>
        <w:rPr>
          <w:b/>
        </w:rPr>
        <w:t>Cell identity and saved answer</w:t>
      </w:r>
    </w:p>
    <w:p>
      <w:pPr>
        <w:keepNext/>
      </w:pPr>
      <w:r>
        <w:t>Record cell ID, window, exact prompt, prompt ID, repeat, UTC collection time, raw answer and source-panel capture pointers.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Service and eligibility</w:t>
      </w:r>
    </w:p>
    <w:p>
      <w:pPr>
        <w:keepNext/>
      </w:pPr>
      <w:r>
        <w:t>Record provider, exact surface, model label or not available, locale, language and account or session state. State the eligibility rule and planned, unavailable, failed or observed status; retain the reason.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Host and source-role rules</w:t>
      </w:r>
    </w:p>
    <w:p>
      <w:pPr>
        <w:keepNext/>
      </w:pPr>
      <w:r>
        <w:t>Record target host, allowed aliases and subdomains, redirect and normalization rule ID and text. Freeze the provider/surface rule ID and text for qualifying citations or supporting sources; retain excluded link roles.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Record each visible source</w:t>
      </w:r>
    </w:p>
    <w:p>
      <w:r>
        <w:t>Repeat this page for every visible URL, including nonqualifying related links. An observed answer with no visible URL gets an explicit no-source record rather than a fabricated source row.</w:t>
      </w:r>
    </w:p>
    <w:p>
      <w:pPr>
        <w:keepNext/>
      </w:pPr>
      <w:r>
        <w:rPr>
          <w:b/>
        </w:rPr>
        <w:t>Source identity and interface role</w:t>
      </w:r>
    </w:p>
    <w:p>
      <w:pPr>
        <w:keepNext/>
      </w:pPr>
      <w:r>
        <w:t>Record cell ID, window, source order, exact UI label, UI role and UI location. Link the capture that shows these facts.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URL and ownership evidence</w:t>
      </w:r>
    </w:p>
    <w:p>
      <w:pPr>
        <w:keepNext/>
      </w:pPr>
      <w:r>
        <w:t>Record original URL, redirect chain, resolved URL, normalized host and owned-host match under the frozen rule. Keep unresolved destinations unresolved.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Qualification and independent features</w:t>
      </w:r>
    </w:p>
    <w:p>
      <w:pPr>
        <w:keepNext/>
      </w:pPr>
      <w:r>
        <w:t>Record qualifying yes, no or unresolved, the rule applied and any exclusion reason. Keep brand mention, recommendation, other-source citation and competitor replacement separate from an owned citation.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Reconcile the observation</w:t>
      </w:r>
    </w:p>
    <w:p>
      <w:r>
        <w:t>Count one positive per observed cell when at least one source qualifies. Multiple links in one answer do not create extra observed cells. Keep missing responses outside the observed denominator.</w:t>
      </w:r>
    </w:p>
    <w:p>
      <w:pPr>
        <w:keepNext/>
      </w:pPr>
      <w:r>
        <w:rPr>
          <w:b/>
        </w:rPr>
        <w:t>Window totals</w:t>
      </w:r>
    </w:p>
    <w:p>
      <w:pPr>
        <w:keepNext/>
      </w:pPr>
      <w:r>
        <w:t>Record planned, unavailable, failed and observed counts plus qualifying owned-link positives. Preserve exclusions and unresolved classification instead of silently treating them as negatives.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Comparable cells</w:t>
      </w:r>
    </w:p>
    <w:p>
      <w:pPr>
        <w:keepNext/>
      </w:pPr>
      <w:r>
        <w:t>For a repeat window, retain full cell keys and common observed pairs. Separate available-case rates from matched comparisons and keep changed collection rules visible.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Reproduction check</w:t>
      </w:r>
    </w:p>
    <w:p>
      <w:pPr>
        <w:keepNext/>
      </w:pPr>
      <w:r>
        <w:t>Ask a reviewer to reproduce the classification from the saved answer, URL and role records. Retain disagreements and the correction trail.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Fictional baseline from the guide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Cells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Treatment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Planned / unavailable / failed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12 / 1 / 1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Retain all states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Observed / owned-cited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10 / 2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2/10 = 20.0%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N06 later related link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Observed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Excluded from citation numerator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Select the next check</w:t>
      </w:r>
    </w:p>
    <w:p>
      <w:r>
        <w:t>A missing owned link does not reveal a provider selection mechanism. Name competing explanations and choose a check that can distinguish them before proposing a fix.</w:t>
      </w:r>
    </w:p>
    <w:p>
      <w:pPr>
        <w:keepNext/>
      </w:pPr>
      <w:r>
        <w:rPr>
          <w:b/>
        </w:rPr>
        <w:t>Finding and alternatives</w:t>
      </w:r>
    </w:p>
    <w:p>
      <w:pPr>
        <w:keepNext/>
      </w:pPr>
      <w:r>
        <w:t>State the bounded observation. Consider access, indexing, canonicalization, entity ambiguity, prompt fit, claim support, source type and answer variability as hypotheses.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Discriminating check</w:t>
      </w:r>
    </w:p>
    <w:p>
      <w:pPr>
        <w:keepNext/>
      </w:pPr>
      <w:r>
        <w:t>Name one check, the evidence to retain, the result that supports the hypothesis and the result that challenges it. Open a fix only for an established defect.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Owner and handoff</w:t>
      </w:r>
    </w:p>
    <w:p>
      <w:pPr>
        <w:keepNext/>
      </w:pPr>
      <w:r>
        <w:t>Assign the investigation owner and review date. Link the audit ledger, protocol and source records. If a later change is approved, register the repeat protocol and report descriptive outcomes separately from causal claims.</w:t>
      </w:r>
    </w:p>
    <w:p>
      <w:pPr>
        <w:spacing w:after="240"/>
      </w:pPr>
      <w:r>
        <w:t>[Enter your response]</w:t>
      </w:r>
    </w:p>
    <w:p>
      <w:r>
        <w:t>Worksheet version 1.0 · 21 September 2026. Complete and repeat records as needed. Blank fields request your evidence; this manual file does not collect answers, import records or establish search demand.</w:t>
      </w:r>
    </w:p>
    <w:p>
      <w:r>
        <w:t>Use the audit template for the observation ledger. Keep this manual owned-link analysis separate from the product scorecard, whose mention and citation rules differ. The AI Visibility Audit is a separate product check. https://rankecho.io/product/ai-visibility-audit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resources/find/ai-citation-gap-analysi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citation gap evidence worksheet</dc:title>
  <dc:subject>Editable Find analysis worksheet</dc:subject>
  <dc:creator>RankEcho</dc:creator>
  <cp:keywords/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